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426" w:rsidRPr="000B35D3" w:rsidRDefault="00F61426" w:rsidP="000B35D3">
      <w:pPr>
        <w:widowControl w:val="0"/>
        <w:spacing w:before="100" w:beforeAutospacing="1" w:after="100" w:afterAutospacing="1" w:line="360" w:lineRule="auto"/>
        <w:ind w:right="-164"/>
        <w:jc w:val="both"/>
        <w:rPr>
          <w:rFonts w:ascii="Palatino Linotype" w:eastAsia="Calibri" w:hAnsi="Palatino Linotype" w:cs="Arial"/>
          <w:b/>
          <w:color w:val="000000"/>
        </w:rPr>
      </w:pPr>
      <w:r w:rsidRPr="000B35D3">
        <w:rPr>
          <w:rFonts w:ascii="Palatino Linotype" w:hAnsi="Palatino Linotype" w:cs="Arial"/>
          <w:b/>
        </w:rPr>
        <w:t xml:space="preserve">VOTO PARTICULAR QUE FORMULA </w:t>
      </w:r>
      <w:r w:rsidRPr="000B35D3">
        <w:rPr>
          <w:rFonts w:ascii="Palatino Linotype" w:hAnsi="Palatino Linotype" w:cs="Arial"/>
          <w:b/>
          <w:szCs w:val="22"/>
        </w:rPr>
        <w:t>LA COMISIONADA EVA ABAID YAPUR</w:t>
      </w:r>
      <w:r w:rsidRPr="000B35D3">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D84627">
        <w:rPr>
          <w:rFonts w:ascii="Palatino Linotype" w:hAnsi="Palatino Linotype" w:cs="Arial"/>
          <w:b/>
        </w:rPr>
        <w:t xml:space="preserve">CUADRAGÉSIMA QUINTA </w:t>
      </w:r>
      <w:r w:rsidRPr="000B35D3">
        <w:rPr>
          <w:rFonts w:ascii="Palatino Linotype" w:hAnsi="Palatino Linotype" w:cs="Arial"/>
          <w:b/>
        </w:rPr>
        <w:t xml:space="preserve">SESIÓN ORDINARIA DE </w:t>
      </w:r>
      <w:r w:rsidR="00D84627">
        <w:rPr>
          <w:rFonts w:ascii="Palatino Linotype" w:hAnsi="Palatino Linotype" w:cs="Arial"/>
          <w:b/>
        </w:rPr>
        <w:t>SEIS</w:t>
      </w:r>
      <w:r w:rsidR="008A36C0" w:rsidRPr="000B35D3">
        <w:rPr>
          <w:rFonts w:ascii="Palatino Linotype" w:hAnsi="Palatino Linotype" w:cs="Arial"/>
          <w:b/>
        </w:rPr>
        <w:t xml:space="preserve"> </w:t>
      </w:r>
      <w:r w:rsidRPr="000B35D3">
        <w:rPr>
          <w:rFonts w:ascii="Palatino Linotype" w:hAnsi="Palatino Linotype" w:cs="Arial"/>
          <w:b/>
        </w:rPr>
        <w:t xml:space="preserve">DE </w:t>
      </w:r>
      <w:r w:rsidR="00D84627">
        <w:rPr>
          <w:rFonts w:ascii="Palatino Linotype" w:hAnsi="Palatino Linotype" w:cs="Arial"/>
          <w:b/>
        </w:rPr>
        <w:t>DICIEMBRE</w:t>
      </w:r>
      <w:r w:rsidR="008A36C0" w:rsidRPr="000B35D3">
        <w:rPr>
          <w:rFonts w:ascii="Palatino Linotype" w:hAnsi="Palatino Linotype" w:cs="Arial"/>
          <w:b/>
        </w:rPr>
        <w:t xml:space="preserve"> </w:t>
      </w:r>
      <w:r w:rsidRPr="000B35D3">
        <w:rPr>
          <w:rFonts w:ascii="Palatino Linotype" w:hAnsi="Palatino Linotype" w:cs="Arial"/>
          <w:b/>
        </w:rPr>
        <w:t>DE DOS MIL DIECI</w:t>
      </w:r>
      <w:r w:rsidR="008A36C0" w:rsidRPr="000B35D3">
        <w:rPr>
          <w:rFonts w:ascii="Palatino Linotype" w:hAnsi="Palatino Linotype" w:cs="Arial"/>
          <w:b/>
        </w:rPr>
        <w:t>OCHO</w:t>
      </w:r>
      <w:r w:rsidRPr="000B35D3">
        <w:rPr>
          <w:rFonts w:ascii="Palatino Linotype" w:hAnsi="Palatino Linotype" w:cs="Arial"/>
          <w:b/>
        </w:rPr>
        <w:t xml:space="preserve">, EN EL RECURSO DE REVISIÓN </w:t>
      </w:r>
      <w:r w:rsidR="00D84627">
        <w:rPr>
          <w:rFonts w:ascii="Palatino Linotype" w:eastAsia="Calibri" w:hAnsi="Palatino Linotype" w:cs="Arial"/>
          <w:b/>
          <w:color w:val="000000"/>
        </w:rPr>
        <w:t>03728</w:t>
      </w:r>
      <w:r w:rsidRPr="000B35D3">
        <w:rPr>
          <w:rFonts w:ascii="Palatino Linotype" w:eastAsia="Calibri" w:hAnsi="Palatino Linotype" w:cs="Arial"/>
          <w:b/>
          <w:color w:val="000000"/>
        </w:rPr>
        <w:t>/INFOEM/IP/RR/201</w:t>
      </w:r>
      <w:r w:rsidR="008A36C0" w:rsidRPr="000B35D3">
        <w:rPr>
          <w:rFonts w:ascii="Palatino Linotype" w:eastAsia="Calibri" w:hAnsi="Palatino Linotype" w:cs="Arial"/>
          <w:b/>
          <w:color w:val="000000"/>
        </w:rPr>
        <w:t>8</w:t>
      </w:r>
      <w:r w:rsidRPr="000B35D3">
        <w:rPr>
          <w:rFonts w:ascii="Palatino Linotype" w:eastAsia="Calibri" w:hAnsi="Palatino Linotype" w:cs="Arial"/>
          <w:b/>
          <w:color w:val="000000"/>
        </w:rPr>
        <w:t>.</w:t>
      </w:r>
    </w:p>
    <w:p w:rsidR="00F61426" w:rsidRPr="000B35D3" w:rsidRDefault="00F61426" w:rsidP="000B35D3">
      <w:pPr>
        <w:spacing w:before="100" w:beforeAutospacing="1" w:after="100" w:afterAutospacing="1" w:line="360" w:lineRule="auto"/>
        <w:jc w:val="both"/>
        <w:rPr>
          <w:rFonts w:ascii="Palatino Linotype" w:hAnsi="Palatino Linotype" w:cs="Arial"/>
        </w:rPr>
      </w:pPr>
      <w:r w:rsidRPr="000B35D3">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0B35D3">
        <w:rPr>
          <w:rFonts w:ascii="Palatino Linotype" w:hAnsi="Palatino Linotype" w:cs="Arial"/>
          <w:b/>
          <w:lang w:val="es-ES_tradnl"/>
        </w:rPr>
        <w:t xml:space="preserve"> </w:t>
      </w:r>
      <w:r w:rsidRPr="000B35D3">
        <w:rPr>
          <w:rFonts w:ascii="Palatino Linotype" w:hAnsi="Palatino Linotype" w:cs="Arial"/>
          <w:b/>
        </w:rPr>
        <w:t xml:space="preserve">EVA ABAID YAPUR, </w:t>
      </w:r>
      <w:r w:rsidRPr="000B35D3">
        <w:rPr>
          <w:rFonts w:ascii="Palatino Linotype" w:hAnsi="Palatino Linotype" w:cs="Arial"/>
        </w:rPr>
        <w:t xml:space="preserve">emite </w:t>
      </w:r>
      <w:r w:rsidRPr="000B35D3">
        <w:rPr>
          <w:rFonts w:ascii="Palatino Linotype" w:hAnsi="Palatino Linotype" w:cs="Arial"/>
          <w:b/>
        </w:rPr>
        <w:t xml:space="preserve">VOTO PARTICULAR </w:t>
      </w:r>
      <w:r w:rsidRPr="000B35D3">
        <w:rPr>
          <w:rFonts w:ascii="Palatino Linotype" w:hAnsi="Palatino Linotype" w:cs="Arial"/>
        </w:rPr>
        <w:t xml:space="preserve">respecto de la resolución dictada en el recurso de revisión </w:t>
      </w:r>
      <w:r w:rsidR="00D84627">
        <w:rPr>
          <w:rFonts w:ascii="Palatino Linotype" w:eastAsia="Calibri" w:hAnsi="Palatino Linotype" w:cs="Arial"/>
          <w:b/>
          <w:color w:val="000000"/>
        </w:rPr>
        <w:t>03728</w:t>
      </w:r>
      <w:r w:rsidR="008A36C0" w:rsidRPr="000B35D3">
        <w:rPr>
          <w:rFonts w:ascii="Palatino Linotype" w:eastAsia="Calibri" w:hAnsi="Palatino Linotype" w:cs="Arial"/>
          <w:b/>
          <w:color w:val="000000"/>
        </w:rPr>
        <w:t>/INFOEM/IP/RR/2018</w:t>
      </w:r>
      <w:r w:rsidRPr="000B35D3">
        <w:rPr>
          <w:rFonts w:ascii="Palatino Linotype" w:hAnsi="Palatino Linotype" w:cs="Arial"/>
        </w:rPr>
        <w:t xml:space="preserve">, pronunciada por el Pleno de este Instituto ante el </w:t>
      </w:r>
      <w:r w:rsidR="008A36C0" w:rsidRPr="000B35D3">
        <w:rPr>
          <w:rFonts w:ascii="Palatino Linotype" w:hAnsi="Palatino Linotype" w:cs="Arial"/>
        </w:rPr>
        <w:t xml:space="preserve">proyecto presentado por </w:t>
      </w:r>
      <w:r w:rsidR="00D84627">
        <w:rPr>
          <w:rFonts w:ascii="Palatino Linotype" w:hAnsi="Palatino Linotype" w:cs="Arial"/>
        </w:rPr>
        <w:t>el</w:t>
      </w:r>
      <w:r w:rsidRPr="000B35D3">
        <w:rPr>
          <w:rFonts w:ascii="Palatino Linotype" w:hAnsi="Palatino Linotype" w:cs="Arial"/>
        </w:rPr>
        <w:t xml:space="preserve"> Comisionad</w:t>
      </w:r>
      <w:r w:rsidR="00D84627">
        <w:rPr>
          <w:rFonts w:ascii="Palatino Linotype" w:hAnsi="Palatino Linotype" w:cs="Arial"/>
        </w:rPr>
        <w:t>o</w:t>
      </w:r>
      <w:r w:rsidR="008A36C0" w:rsidRPr="000B35D3">
        <w:rPr>
          <w:rFonts w:ascii="Palatino Linotype" w:hAnsi="Palatino Linotype" w:cs="Arial"/>
        </w:rPr>
        <w:t xml:space="preserve"> </w:t>
      </w:r>
      <w:r w:rsidR="00D84627">
        <w:rPr>
          <w:rFonts w:ascii="Palatino Linotype" w:hAnsi="Palatino Linotype" w:cs="Arial"/>
          <w:b/>
        </w:rPr>
        <w:t>JOSÉ GUADALUPE LUNA HERNÁNDEZ</w:t>
      </w:r>
      <w:r w:rsidRPr="000B35D3">
        <w:rPr>
          <w:rFonts w:ascii="Palatino Linotype" w:hAnsi="Palatino Linotype" w:cs="Arial"/>
          <w:b/>
        </w:rPr>
        <w:t>,</w:t>
      </w:r>
      <w:r w:rsidR="002C2258" w:rsidRPr="000B35D3">
        <w:rPr>
          <w:rFonts w:ascii="Palatino Linotype" w:hAnsi="Palatino Linotype" w:cs="Arial"/>
        </w:rPr>
        <w:t xml:space="preserve"> que es del tenor siguiente.</w:t>
      </w:r>
    </w:p>
    <w:p w:rsidR="00F61426" w:rsidRPr="000B35D3" w:rsidRDefault="00F61426" w:rsidP="000B35D3">
      <w:pPr>
        <w:spacing w:before="100" w:beforeAutospacing="1" w:after="100" w:afterAutospacing="1" w:line="360" w:lineRule="auto"/>
        <w:jc w:val="both"/>
        <w:rPr>
          <w:rFonts w:ascii="Palatino Linotype" w:hAnsi="Palatino Linotype"/>
        </w:rPr>
      </w:pPr>
      <w:r w:rsidRPr="000B35D3">
        <w:rPr>
          <w:rFonts w:ascii="Palatino Linotype" w:hAnsi="Palatino Linotype"/>
        </w:rPr>
        <w:t xml:space="preserve">Es de destacar, que la suscrita comparte las razones que motivaron la emisión del recurso de revisión en comento; empero, </w:t>
      </w:r>
      <w:r w:rsidR="0011585F">
        <w:rPr>
          <w:rFonts w:ascii="Palatino Linotype" w:hAnsi="Palatino Linotype"/>
        </w:rPr>
        <w:t>estimo</w:t>
      </w:r>
      <w:r w:rsidRPr="000B35D3">
        <w:rPr>
          <w:rFonts w:ascii="Palatino Linotype" w:hAnsi="Palatino Linotype"/>
        </w:rPr>
        <w:t xml:space="preserve"> necesario precisar algunas consideraciones de hecho y de derecho, respecto del sentido de la resolución correspondiente.</w:t>
      </w:r>
    </w:p>
    <w:p w:rsidR="00D84627" w:rsidRDefault="002C2258" w:rsidP="000B35D3">
      <w:pPr>
        <w:spacing w:before="100" w:beforeAutospacing="1" w:after="100" w:afterAutospacing="1" w:line="360" w:lineRule="auto"/>
        <w:jc w:val="both"/>
        <w:rPr>
          <w:rFonts w:ascii="Palatino Linotype" w:hAnsi="Palatino Linotype"/>
        </w:rPr>
      </w:pPr>
      <w:r w:rsidRPr="000B35D3">
        <w:rPr>
          <w:rFonts w:ascii="Palatino Linotype" w:hAnsi="Palatino Linotype"/>
        </w:rPr>
        <w:t>Así</w:t>
      </w:r>
      <w:r w:rsidR="00F61426" w:rsidRPr="000B35D3">
        <w:rPr>
          <w:rFonts w:ascii="Palatino Linotype" w:hAnsi="Palatino Linotype"/>
        </w:rPr>
        <w:t xml:space="preserve">, tal y como quedó debidamente asentado en la resolución materia del presente voto, </w:t>
      </w:r>
      <w:r w:rsidR="00D84627">
        <w:rPr>
          <w:rFonts w:ascii="Palatino Linotype" w:hAnsi="Palatino Linotype"/>
        </w:rPr>
        <w:t>el</w:t>
      </w:r>
      <w:r w:rsidR="00757CBD">
        <w:rPr>
          <w:rFonts w:ascii="Palatino Linotype" w:hAnsi="Palatino Linotype"/>
        </w:rPr>
        <w:t xml:space="preserve"> particular </w:t>
      </w:r>
      <w:r w:rsidR="00F61426" w:rsidRPr="000B35D3">
        <w:rPr>
          <w:rFonts w:ascii="Palatino Linotype" w:hAnsi="Palatino Linotype"/>
        </w:rPr>
        <w:t xml:space="preserve">solicitó </w:t>
      </w:r>
      <w:r w:rsidR="00D84627">
        <w:rPr>
          <w:rFonts w:ascii="Palatino Linotype" w:hAnsi="Palatino Linotype"/>
        </w:rPr>
        <w:t xml:space="preserve">al </w:t>
      </w:r>
      <w:r w:rsidR="00D84627" w:rsidRPr="00D84627">
        <w:rPr>
          <w:rFonts w:ascii="Palatino Linotype" w:hAnsi="Palatino Linotype"/>
          <w:b/>
        </w:rPr>
        <w:t>Ayuntamiento de Temoaya</w:t>
      </w:r>
      <w:r w:rsidR="008A36C0" w:rsidRPr="000B35D3">
        <w:rPr>
          <w:rFonts w:ascii="Palatino Linotype" w:hAnsi="Palatino Linotype"/>
        </w:rPr>
        <w:t xml:space="preserve">, en lo sucesivo </w:t>
      </w:r>
      <w:r w:rsidR="008A36C0" w:rsidRPr="000B35D3">
        <w:rPr>
          <w:rFonts w:ascii="Palatino Linotype" w:hAnsi="Palatino Linotype"/>
          <w:b/>
        </w:rPr>
        <w:t>EL</w:t>
      </w:r>
      <w:r w:rsidR="008A36C0" w:rsidRPr="000B35D3">
        <w:rPr>
          <w:rFonts w:ascii="Palatino Linotype" w:hAnsi="Palatino Linotype"/>
        </w:rPr>
        <w:t xml:space="preserve"> </w:t>
      </w:r>
      <w:r w:rsidR="00F61426" w:rsidRPr="000B35D3">
        <w:rPr>
          <w:rFonts w:ascii="Palatino Linotype" w:hAnsi="Palatino Linotype"/>
          <w:b/>
        </w:rPr>
        <w:t>SUJETO OBLIGADO</w:t>
      </w:r>
      <w:r w:rsidR="0011585F">
        <w:rPr>
          <w:rFonts w:ascii="Palatino Linotype" w:hAnsi="Palatino Linotype"/>
          <w:b/>
        </w:rPr>
        <w:t>,</w:t>
      </w:r>
      <w:r w:rsidR="00F61426" w:rsidRPr="000B35D3">
        <w:rPr>
          <w:rFonts w:ascii="Palatino Linotype" w:hAnsi="Palatino Linotype"/>
        </w:rPr>
        <w:t xml:space="preserve"> </w:t>
      </w:r>
      <w:r w:rsidR="00D84627">
        <w:rPr>
          <w:rFonts w:ascii="Palatino Linotype" w:hAnsi="Palatino Linotype"/>
        </w:rPr>
        <w:t xml:space="preserve">la siguiente información: </w:t>
      </w:r>
    </w:p>
    <w:p w:rsidR="00D84627" w:rsidRDefault="00D84627" w:rsidP="00D84627">
      <w:pPr>
        <w:pStyle w:val="Prrafodelista"/>
        <w:numPr>
          <w:ilvl w:val="1"/>
          <w:numId w:val="2"/>
        </w:numPr>
        <w:tabs>
          <w:tab w:val="left" w:pos="426"/>
        </w:tabs>
        <w:spacing w:before="240" w:after="240" w:line="360" w:lineRule="auto"/>
        <w:ind w:left="851" w:right="49" w:hanging="218"/>
        <w:contextualSpacing/>
        <w:jc w:val="both"/>
        <w:rPr>
          <w:rFonts w:ascii="Palatino Linotype" w:hAnsi="Palatino Linotype" w:cs="Arial"/>
        </w:rPr>
      </w:pPr>
      <w:r>
        <w:rPr>
          <w:rFonts w:ascii="Palatino Linotype" w:hAnsi="Palatino Linotype" w:cs="Arial"/>
        </w:rPr>
        <w:lastRenderedPageBreak/>
        <w:t>Acciones realizadas por el actual Presidente Municipal para el reordenamiento vial en la cabecera municipal y del comercio o ambulantes.</w:t>
      </w:r>
    </w:p>
    <w:p w:rsidR="00D84627" w:rsidRDefault="00D84627" w:rsidP="00D84627">
      <w:pPr>
        <w:pStyle w:val="Prrafodelista"/>
        <w:numPr>
          <w:ilvl w:val="1"/>
          <w:numId w:val="2"/>
        </w:numPr>
        <w:tabs>
          <w:tab w:val="left" w:pos="426"/>
        </w:tabs>
        <w:spacing w:before="240" w:after="240" w:line="360" w:lineRule="auto"/>
        <w:ind w:left="851" w:right="49" w:hanging="218"/>
        <w:contextualSpacing/>
        <w:jc w:val="both"/>
        <w:rPr>
          <w:rFonts w:ascii="Palatino Linotype" w:hAnsi="Palatino Linotype" w:cs="Arial"/>
        </w:rPr>
      </w:pPr>
      <w:r>
        <w:rPr>
          <w:rFonts w:ascii="Palatino Linotype" w:hAnsi="Palatino Linotype" w:cs="Arial"/>
        </w:rPr>
        <w:t>Documentos que demuestren la implementación de políticas públicas para mejorar los servicios públicos de mercado y transporte.</w:t>
      </w:r>
    </w:p>
    <w:p w:rsidR="004343CF" w:rsidRPr="000B35D3" w:rsidRDefault="00F61426" w:rsidP="000B35D3">
      <w:pPr>
        <w:spacing w:before="100" w:beforeAutospacing="1" w:after="100" w:afterAutospacing="1" w:line="360" w:lineRule="auto"/>
        <w:jc w:val="both"/>
        <w:rPr>
          <w:rFonts w:ascii="Palatino Linotype" w:hAnsi="Palatino Linotype" w:cs="Arial"/>
        </w:rPr>
      </w:pPr>
      <w:r w:rsidRPr="000B35D3">
        <w:rPr>
          <w:rFonts w:ascii="Palatino Linotype" w:hAnsi="Palatino Linotype" w:cs="Arial"/>
        </w:rPr>
        <w:t xml:space="preserve">En </w:t>
      </w:r>
      <w:r w:rsidRPr="000B35D3">
        <w:rPr>
          <w:rFonts w:ascii="Palatino Linotype" w:hAnsi="Palatino Linotype"/>
        </w:rPr>
        <w:t>respuesta</w:t>
      </w:r>
      <w:r w:rsidRPr="000B35D3">
        <w:rPr>
          <w:rFonts w:ascii="Palatino Linotype" w:hAnsi="Palatino Linotype" w:cs="Arial"/>
        </w:rPr>
        <w:t xml:space="preserve">, </w:t>
      </w:r>
      <w:r w:rsidRPr="000B35D3">
        <w:rPr>
          <w:rFonts w:ascii="Palatino Linotype" w:hAnsi="Palatino Linotype" w:cs="Arial"/>
          <w:b/>
        </w:rPr>
        <w:t>EL SUJETO OBLIGADO</w:t>
      </w:r>
      <w:r w:rsidRPr="000B35D3">
        <w:rPr>
          <w:rFonts w:ascii="Palatino Linotype" w:hAnsi="Palatino Linotype" w:cs="Arial"/>
        </w:rPr>
        <w:t xml:space="preserve"> </w:t>
      </w:r>
      <w:r w:rsidR="00D84627">
        <w:rPr>
          <w:rFonts w:ascii="Palatino Linotype" w:hAnsi="Palatino Linotype" w:cs="Arial"/>
        </w:rPr>
        <w:t>refirió</w:t>
      </w:r>
      <w:r w:rsidRPr="000B35D3">
        <w:rPr>
          <w:rFonts w:ascii="Palatino Linotype" w:hAnsi="Palatino Linotype" w:cs="Arial"/>
        </w:rPr>
        <w:t xml:space="preserve"> </w:t>
      </w:r>
      <w:r w:rsidR="00D84627">
        <w:rPr>
          <w:rFonts w:ascii="Palatino Linotype" w:hAnsi="Palatino Linotype" w:cs="Arial"/>
          <w:szCs w:val="23"/>
        </w:rPr>
        <w:t>las acciones que había llevado a cabo a lo largo de la presente administración, en lo relacionado al reordenamiento vial dentro del primer cuadro de la cabecera municipal, ordenamiento vial municipal, ordenamiento comercial y comercio ambulante.</w:t>
      </w:r>
    </w:p>
    <w:p w:rsidR="002C2258" w:rsidRPr="000B35D3" w:rsidRDefault="00F61426" w:rsidP="000B35D3">
      <w:pPr>
        <w:spacing w:before="100" w:beforeAutospacing="1" w:after="100" w:afterAutospacing="1" w:line="360" w:lineRule="auto"/>
        <w:ind w:right="49"/>
        <w:jc w:val="both"/>
        <w:rPr>
          <w:rFonts w:ascii="Palatino Linotype" w:hAnsi="Palatino Linotype" w:cs="Arial"/>
        </w:rPr>
      </w:pPr>
      <w:r w:rsidRPr="000B35D3">
        <w:rPr>
          <w:rFonts w:ascii="Palatino Linotype" w:hAnsi="Palatino Linotype" w:cs="Arial"/>
        </w:rPr>
        <w:t xml:space="preserve">Inconforme con la respuesta </w:t>
      </w:r>
      <w:r w:rsidR="00D84627">
        <w:rPr>
          <w:rFonts w:ascii="Palatino Linotype" w:hAnsi="Palatino Linotype" w:cs="Arial"/>
          <w:b/>
        </w:rPr>
        <w:t>EL</w:t>
      </w:r>
      <w:r w:rsidRPr="000B35D3">
        <w:rPr>
          <w:rFonts w:ascii="Palatino Linotype" w:hAnsi="Palatino Linotype" w:cs="Arial"/>
          <w:b/>
        </w:rPr>
        <w:t xml:space="preserve"> RECURRENTE, </w:t>
      </w:r>
      <w:r w:rsidRPr="000B35D3">
        <w:rPr>
          <w:rFonts w:ascii="Palatino Linotype" w:hAnsi="Palatino Linotype" w:cs="Arial"/>
        </w:rPr>
        <w:t>interpuso el recurso de revisión de mérito a través del cual señaló</w:t>
      </w:r>
      <w:r w:rsidR="000B35D3">
        <w:rPr>
          <w:rFonts w:ascii="Palatino Linotype" w:hAnsi="Palatino Linotype" w:cs="Arial"/>
        </w:rPr>
        <w:t xml:space="preserve"> como Acto Impugnado: </w:t>
      </w:r>
    </w:p>
    <w:p w:rsidR="00F61426" w:rsidRPr="000B35D3" w:rsidRDefault="00F61426" w:rsidP="000B35D3">
      <w:pPr>
        <w:spacing w:before="100" w:beforeAutospacing="1" w:after="100" w:afterAutospacing="1" w:line="360" w:lineRule="auto"/>
        <w:ind w:left="851" w:right="1750"/>
        <w:jc w:val="both"/>
        <w:rPr>
          <w:rFonts w:ascii="Palatino Linotype" w:hAnsi="Palatino Linotype" w:cs="Arial"/>
          <w:i/>
          <w:sz w:val="22"/>
          <w:szCs w:val="22"/>
        </w:rPr>
      </w:pPr>
      <w:r w:rsidRPr="000B35D3">
        <w:rPr>
          <w:rFonts w:ascii="Palatino Linotype" w:hAnsi="Palatino Linotype" w:cs="Arial"/>
          <w:i/>
          <w:sz w:val="22"/>
          <w:szCs w:val="22"/>
        </w:rPr>
        <w:t>“</w:t>
      </w:r>
      <w:r w:rsidR="00D84627" w:rsidRPr="00D84627">
        <w:rPr>
          <w:rFonts w:ascii="Palatino Linotype" w:hAnsi="Palatino Linotype"/>
          <w:i/>
          <w:color w:val="000000"/>
          <w:sz w:val="22"/>
          <w:szCs w:val="22"/>
        </w:rPr>
        <w:t>la respuesta otorgada</w:t>
      </w:r>
      <w:r w:rsidRPr="000B35D3">
        <w:rPr>
          <w:rFonts w:ascii="Palatino Linotype" w:hAnsi="Palatino Linotype" w:cs="Arial"/>
          <w:i/>
          <w:sz w:val="22"/>
          <w:szCs w:val="22"/>
        </w:rPr>
        <w:t>” (sic)</w:t>
      </w:r>
    </w:p>
    <w:p w:rsidR="00F61426" w:rsidRPr="000B35D3" w:rsidRDefault="00F61426" w:rsidP="000B35D3">
      <w:pPr>
        <w:spacing w:before="100" w:beforeAutospacing="1" w:after="100" w:afterAutospacing="1" w:line="360" w:lineRule="auto"/>
        <w:jc w:val="both"/>
        <w:rPr>
          <w:rFonts w:ascii="Palatino Linotype" w:hAnsi="Palatino Linotype" w:cs="Arial"/>
        </w:rPr>
      </w:pPr>
      <w:r w:rsidRPr="000B35D3">
        <w:rPr>
          <w:rFonts w:ascii="Palatino Linotype" w:hAnsi="Palatino Linotype" w:cs="Arial"/>
        </w:rPr>
        <w:t xml:space="preserve">Asimismo, </w:t>
      </w:r>
      <w:r w:rsidR="00757CBD">
        <w:rPr>
          <w:rFonts w:ascii="Palatino Linotype" w:hAnsi="Palatino Linotype" w:cs="Arial"/>
        </w:rPr>
        <w:t>indic</w:t>
      </w:r>
      <w:r w:rsidR="00BA11BE">
        <w:rPr>
          <w:rFonts w:ascii="Palatino Linotype" w:hAnsi="Palatino Linotype" w:cs="Arial"/>
        </w:rPr>
        <w:t>ó</w:t>
      </w:r>
      <w:r w:rsidRPr="000B35D3">
        <w:rPr>
          <w:rFonts w:ascii="Palatino Linotype" w:hAnsi="Palatino Linotype" w:cs="Arial"/>
        </w:rPr>
        <w:t xml:space="preserve"> como raz</w:t>
      </w:r>
      <w:r w:rsidR="00757CBD">
        <w:rPr>
          <w:rFonts w:ascii="Palatino Linotype" w:hAnsi="Palatino Linotype" w:cs="Arial"/>
        </w:rPr>
        <w:t>ones o motivos de inconformidad:</w:t>
      </w:r>
    </w:p>
    <w:p w:rsidR="00F61426" w:rsidRPr="000B35D3" w:rsidRDefault="00F61426" w:rsidP="000B35D3">
      <w:pPr>
        <w:spacing w:before="100" w:beforeAutospacing="1" w:after="100" w:afterAutospacing="1" w:line="360" w:lineRule="auto"/>
        <w:ind w:left="851" w:right="1750"/>
        <w:jc w:val="both"/>
        <w:rPr>
          <w:rFonts w:ascii="Palatino Linotype" w:hAnsi="Palatino Linotype" w:cs="Arial"/>
          <w:i/>
          <w:sz w:val="22"/>
          <w:szCs w:val="22"/>
        </w:rPr>
      </w:pPr>
      <w:r w:rsidRPr="000B35D3">
        <w:rPr>
          <w:rFonts w:ascii="Palatino Linotype" w:hAnsi="Palatino Linotype" w:cs="Arial"/>
          <w:i/>
          <w:sz w:val="22"/>
          <w:szCs w:val="22"/>
        </w:rPr>
        <w:t>“</w:t>
      </w:r>
      <w:r w:rsidR="00D84627" w:rsidRPr="00D84627">
        <w:rPr>
          <w:rFonts w:ascii="Palatino Linotype" w:hAnsi="Palatino Linotype"/>
          <w:i/>
          <w:color w:val="000000"/>
          <w:sz w:val="22"/>
          <w:szCs w:val="22"/>
        </w:rPr>
        <w:t>el sujeto refiere que tiene un costo la consulta de la información en sus oficinas, contrario a lo que establece la Ley de transparencia, ahora bien no me indica cuales son las medidas que implementara para la consulta, como si me proporcionará versión pública sin que medie acuerdos de clasificación para la misma, por lo que no se satisface mi derecho, toda vez que ni parcial ni total me da acceso a la información, la respuesta no es clara</w:t>
      </w:r>
      <w:proofErr w:type="gramStart"/>
      <w:r w:rsidR="00D84627" w:rsidRPr="00D84627">
        <w:rPr>
          <w:rFonts w:ascii="Palatino Linotype" w:hAnsi="Palatino Linotype"/>
          <w:i/>
          <w:color w:val="000000"/>
          <w:sz w:val="22"/>
          <w:szCs w:val="22"/>
        </w:rPr>
        <w:t>.</w:t>
      </w:r>
      <w:r w:rsidRPr="000B35D3">
        <w:rPr>
          <w:rFonts w:ascii="Palatino Linotype" w:hAnsi="Palatino Linotype"/>
          <w:i/>
          <w:color w:val="000000"/>
          <w:sz w:val="22"/>
          <w:szCs w:val="22"/>
        </w:rPr>
        <w:t>.</w:t>
      </w:r>
      <w:r w:rsidRPr="000B35D3">
        <w:rPr>
          <w:rFonts w:ascii="Palatino Linotype" w:hAnsi="Palatino Linotype" w:cs="Arial"/>
          <w:i/>
          <w:sz w:val="22"/>
          <w:szCs w:val="22"/>
        </w:rPr>
        <w:t>”</w:t>
      </w:r>
      <w:proofErr w:type="gramEnd"/>
      <w:r w:rsidRPr="000B35D3">
        <w:rPr>
          <w:rFonts w:ascii="Palatino Linotype" w:hAnsi="Palatino Linotype" w:cs="Arial"/>
          <w:i/>
          <w:sz w:val="22"/>
          <w:szCs w:val="22"/>
        </w:rPr>
        <w:t xml:space="preserve"> (</w:t>
      </w:r>
      <w:proofErr w:type="gramStart"/>
      <w:r w:rsidRPr="000B35D3">
        <w:rPr>
          <w:rFonts w:ascii="Palatino Linotype" w:hAnsi="Palatino Linotype" w:cs="Arial"/>
          <w:i/>
          <w:sz w:val="22"/>
          <w:szCs w:val="22"/>
        </w:rPr>
        <w:t>sic</w:t>
      </w:r>
      <w:proofErr w:type="gramEnd"/>
      <w:r w:rsidRPr="000B35D3">
        <w:rPr>
          <w:rFonts w:ascii="Palatino Linotype" w:hAnsi="Palatino Linotype" w:cs="Arial"/>
          <w:i/>
          <w:sz w:val="22"/>
          <w:szCs w:val="22"/>
        </w:rPr>
        <w:t>)</w:t>
      </w:r>
    </w:p>
    <w:p w:rsidR="004343CF" w:rsidRPr="000B35D3" w:rsidRDefault="00F61426" w:rsidP="000B35D3">
      <w:pPr>
        <w:spacing w:before="100" w:beforeAutospacing="1" w:after="100" w:afterAutospacing="1" w:line="360" w:lineRule="auto"/>
        <w:jc w:val="both"/>
        <w:rPr>
          <w:rFonts w:ascii="Palatino Linotype" w:hAnsi="Palatino Linotype" w:cs="Arial"/>
        </w:rPr>
      </w:pPr>
      <w:r w:rsidRPr="000B35D3">
        <w:rPr>
          <w:rFonts w:ascii="Palatino Linotype" w:hAnsi="Palatino Linotype" w:cs="Arial"/>
        </w:rPr>
        <w:t>De lo anterior, conforme al análisis d</w:t>
      </w:r>
      <w:r w:rsidRPr="000B35D3">
        <w:rPr>
          <w:rFonts w:ascii="Palatino Linotype" w:hAnsi="Palatino Linotype"/>
        </w:rPr>
        <w:t xml:space="preserve">el expediente electrónico del </w:t>
      </w:r>
      <w:r w:rsidRPr="000B35D3">
        <w:rPr>
          <w:rFonts w:ascii="Palatino Linotype" w:hAnsi="Palatino Linotype"/>
          <w:b/>
        </w:rPr>
        <w:t>SAIMEX</w:t>
      </w:r>
      <w:r w:rsidRPr="000B35D3">
        <w:rPr>
          <w:rFonts w:ascii="Palatino Linotype" w:hAnsi="Palatino Linotype" w:cs="Arial"/>
        </w:rPr>
        <w:t xml:space="preserve">, la Ponencia </w:t>
      </w:r>
      <w:proofErr w:type="spellStart"/>
      <w:r w:rsidRPr="000B35D3">
        <w:rPr>
          <w:rFonts w:ascii="Palatino Linotype" w:hAnsi="Palatino Linotype" w:cs="Arial"/>
        </w:rPr>
        <w:t>Resolutura</w:t>
      </w:r>
      <w:proofErr w:type="spellEnd"/>
      <w:r w:rsidRPr="000B35D3">
        <w:rPr>
          <w:rFonts w:ascii="Palatino Linotype" w:hAnsi="Palatino Linotype" w:cs="Arial"/>
        </w:rPr>
        <w:t xml:space="preserve"> determinó </w:t>
      </w:r>
      <w:r w:rsidR="00DE4EFA" w:rsidRPr="000B35D3">
        <w:rPr>
          <w:rFonts w:ascii="Palatino Linotype" w:hAnsi="Palatino Linotype" w:cs="Arial"/>
          <w:b/>
        </w:rPr>
        <w:t>MODIFICAR</w:t>
      </w:r>
      <w:r w:rsidRPr="000B35D3">
        <w:rPr>
          <w:rFonts w:ascii="Palatino Linotype" w:hAnsi="Palatino Linotype" w:cs="Arial"/>
        </w:rPr>
        <w:t xml:space="preserve"> </w:t>
      </w:r>
      <w:r w:rsidR="00DE4EFA" w:rsidRPr="000B35D3">
        <w:rPr>
          <w:rFonts w:ascii="Palatino Linotype" w:hAnsi="Palatino Linotype" w:cs="Arial"/>
        </w:rPr>
        <w:t xml:space="preserve">la respuesta del </w:t>
      </w:r>
      <w:r w:rsidR="00DE4EFA" w:rsidRPr="000B35D3">
        <w:rPr>
          <w:rFonts w:ascii="Palatino Linotype" w:hAnsi="Palatino Linotype" w:cs="Arial"/>
          <w:b/>
        </w:rPr>
        <w:t xml:space="preserve">SUJETO OBLIGADO </w:t>
      </w:r>
      <w:r w:rsidR="00DE4EFA" w:rsidRPr="000B35D3">
        <w:rPr>
          <w:rFonts w:ascii="Palatino Linotype" w:hAnsi="Palatino Linotype" w:cs="Arial"/>
        </w:rPr>
        <w:lastRenderedPageBreak/>
        <w:t xml:space="preserve">ordenándole </w:t>
      </w:r>
      <w:r w:rsidR="00C52D7F">
        <w:rPr>
          <w:rFonts w:ascii="Palatino Linotype" w:hAnsi="Palatino Linotype" w:cs="Arial"/>
        </w:rPr>
        <w:t>hacer</w:t>
      </w:r>
      <w:r w:rsidR="00DE4EFA" w:rsidRPr="000B35D3">
        <w:rPr>
          <w:rFonts w:ascii="Palatino Linotype" w:hAnsi="Palatino Linotype" w:cs="Arial"/>
        </w:rPr>
        <w:t xml:space="preserve"> entrega vía Sistema de Acceso a Información Mexiquense, </w:t>
      </w:r>
      <w:r w:rsidR="00C52D7F">
        <w:rPr>
          <w:rFonts w:ascii="Palatino Linotype" w:hAnsi="Palatino Linotype" w:cs="Arial"/>
        </w:rPr>
        <w:t xml:space="preserve">en versión pública, </w:t>
      </w:r>
      <w:r w:rsidR="00BA11BE">
        <w:rPr>
          <w:rFonts w:ascii="Palatino Linotype" w:hAnsi="Palatino Linotype" w:cs="Arial"/>
        </w:rPr>
        <w:t xml:space="preserve">de </w:t>
      </w:r>
      <w:r w:rsidR="00C52D7F">
        <w:rPr>
          <w:rFonts w:ascii="Palatino Linotype" w:hAnsi="Palatino Linotype" w:cs="Arial"/>
        </w:rPr>
        <w:t>la siguiente información</w:t>
      </w:r>
      <w:r w:rsidR="00DE4EFA" w:rsidRPr="000B35D3">
        <w:rPr>
          <w:rFonts w:ascii="Palatino Linotype" w:hAnsi="Palatino Linotype" w:cs="Arial"/>
        </w:rPr>
        <w:t xml:space="preserve">: </w:t>
      </w:r>
    </w:p>
    <w:p w:rsidR="000267B0" w:rsidRPr="000267B0" w:rsidRDefault="000267B0" w:rsidP="000267B0">
      <w:pPr>
        <w:pStyle w:val="Prrafodelista"/>
        <w:numPr>
          <w:ilvl w:val="0"/>
          <w:numId w:val="3"/>
        </w:numPr>
        <w:ind w:right="899"/>
        <w:rPr>
          <w:rFonts w:ascii="Palatino Linotype" w:hAnsi="Palatino Linotype" w:cs="Arial"/>
          <w:i/>
          <w:sz w:val="22"/>
          <w:szCs w:val="22"/>
        </w:rPr>
      </w:pPr>
      <w:r w:rsidRPr="000267B0">
        <w:rPr>
          <w:rFonts w:ascii="Palatino Linotype" w:hAnsi="Palatino Linotype" w:cs="Arial"/>
          <w:i/>
          <w:sz w:val="22"/>
          <w:szCs w:val="22"/>
        </w:rPr>
        <w:t>Documentos que avalen las acciones o políticas públicas sustanciadas durante la administración 2016-2018 relativas al comercio formal, informal y transporte público.</w:t>
      </w:r>
    </w:p>
    <w:p w:rsidR="00F61426" w:rsidRPr="000B35D3" w:rsidRDefault="002C2258" w:rsidP="000B35D3">
      <w:pPr>
        <w:spacing w:before="100" w:beforeAutospacing="1" w:after="100" w:afterAutospacing="1" w:line="360" w:lineRule="auto"/>
        <w:jc w:val="both"/>
        <w:rPr>
          <w:rFonts w:ascii="Palatino Linotype" w:hAnsi="Palatino Linotype"/>
          <w:b/>
        </w:rPr>
      </w:pPr>
      <w:r w:rsidRPr="000B35D3">
        <w:rPr>
          <w:rFonts w:ascii="Palatino Linotype" w:hAnsi="Palatino Linotype" w:cs="Arial"/>
        </w:rPr>
        <w:t>Sin embargo</w:t>
      </w:r>
      <w:r w:rsidR="00F61426" w:rsidRPr="000B35D3">
        <w:rPr>
          <w:rFonts w:ascii="Palatino Linotype" w:hAnsi="Palatino Linotype" w:cs="Arial"/>
        </w:rPr>
        <w:t xml:space="preserve">, </w:t>
      </w:r>
      <w:r w:rsidRPr="000B35D3">
        <w:rPr>
          <w:rFonts w:ascii="Palatino Linotype" w:hAnsi="Palatino Linotype"/>
        </w:rPr>
        <w:t xml:space="preserve">si bien coincido </w:t>
      </w:r>
      <w:r w:rsidR="00F61426" w:rsidRPr="000B35D3">
        <w:rPr>
          <w:rFonts w:ascii="Palatino Linotype" w:hAnsi="Palatino Linotype"/>
        </w:rPr>
        <w:t>con las causas que dieron origen al present</w:t>
      </w:r>
      <w:r w:rsidR="0053237D" w:rsidRPr="000B35D3">
        <w:rPr>
          <w:rFonts w:ascii="Palatino Linotype" w:hAnsi="Palatino Linotype"/>
        </w:rPr>
        <w:t>e recurso de revisión, considero</w:t>
      </w:r>
      <w:r w:rsidR="00F61426" w:rsidRPr="000B35D3">
        <w:rPr>
          <w:rFonts w:ascii="Palatino Linotype" w:hAnsi="Palatino Linotype"/>
        </w:rPr>
        <w:t xml:space="preserve"> necesario precisar que, a criterio de la suscrita </w:t>
      </w:r>
      <w:r w:rsidR="00F61426" w:rsidRPr="000B35D3">
        <w:rPr>
          <w:rFonts w:ascii="Palatino Linotype" w:hAnsi="Palatino Linotype"/>
          <w:b/>
        </w:rPr>
        <w:t xml:space="preserve">EL SUJETO OBLIGADO, </w:t>
      </w:r>
      <w:r w:rsidR="00F61426" w:rsidRPr="000B35D3">
        <w:rPr>
          <w:rFonts w:ascii="Palatino Linotype" w:hAnsi="Palatino Linotype"/>
        </w:rPr>
        <w:t>desde su respuesta satisfizo el derecho de acceso a la información pública de</w:t>
      </w:r>
      <w:r w:rsidR="000267B0">
        <w:rPr>
          <w:rFonts w:ascii="Palatino Linotype" w:hAnsi="Palatino Linotype"/>
        </w:rPr>
        <w:t>l</w:t>
      </w:r>
      <w:r w:rsidR="00F61426" w:rsidRPr="000B35D3">
        <w:rPr>
          <w:rFonts w:ascii="Palatino Linotype" w:hAnsi="Palatino Linotype"/>
        </w:rPr>
        <w:t xml:space="preserve"> </w:t>
      </w:r>
      <w:r w:rsidR="00F61426" w:rsidRPr="000B35D3">
        <w:rPr>
          <w:rFonts w:ascii="Palatino Linotype" w:hAnsi="Palatino Linotype"/>
          <w:b/>
        </w:rPr>
        <w:t>RECURRENTE</w:t>
      </w:r>
      <w:r w:rsidRPr="000B35D3">
        <w:rPr>
          <w:rFonts w:ascii="Palatino Linotype" w:hAnsi="Palatino Linotype"/>
        </w:rPr>
        <w:t xml:space="preserve"> como se verá en las líneas que continúan</w:t>
      </w:r>
      <w:r w:rsidR="003E1A53" w:rsidRPr="000B35D3">
        <w:rPr>
          <w:rFonts w:ascii="Palatino Linotype" w:hAnsi="Palatino Linotype"/>
        </w:rPr>
        <w:t>.</w:t>
      </w:r>
    </w:p>
    <w:p w:rsidR="0053237D" w:rsidRPr="000B35D3" w:rsidRDefault="0053237D" w:rsidP="000B35D3">
      <w:pPr>
        <w:spacing w:before="100" w:beforeAutospacing="1" w:after="100" w:afterAutospacing="1" w:line="360" w:lineRule="auto"/>
        <w:jc w:val="both"/>
        <w:rPr>
          <w:rFonts w:ascii="Palatino Linotype" w:hAnsi="Palatino Linotype" w:cs="Arial"/>
          <w:lang w:eastAsia="es-MX"/>
        </w:rPr>
      </w:pPr>
      <w:r w:rsidRPr="000B35D3">
        <w:rPr>
          <w:rFonts w:ascii="Palatino Linotype" w:hAnsi="Palatino Linotype" w:cs="Arial"/>
          <w:lang w:eastAsia="es-MX"/>
        </w:rPr>
        <w:t>Como fue</w:t>
      </w:r>
      <w:r w:rsidR="004343CF" w:rsidRPr="000B35D3">
        <w:rPr>
          <w:rFonts w:ascii="Palatino Linotype" w:hAnsi="Palatino Linotype" w:cs="Arial"/>
          <w:lang w:eastAsia="es-MX"/>
        </w:rPr>
        <w:t xml:space="preserve"> </w:t>
      </w:r>
      <w:r w:rsidR="0027696A" w:rsidRPr="000B35D3">
        <w:rPr>
          <w:rFonts w:ascii="Palatino Linotype" w:hAnsi="Palatino Linotype" w:cs="Arial"/>
          <w:lang w:eastAsia="es-MX"/>
        </w:rPr>
        <w:t>expuesto</w:t>
      </w:r>
      <w:r w:rsidR="0011585F">
        <w:rPr>
          <w:rFonts w:ascii="Palatino Linotype" w:hAnsi="Palatino Linotype" w:cs="Arial"/>
          <w:lang w:eastAsia="es-MX"/>
        </w:rPr>
        <w:t>,</w:t>
      </w:r>
      <w:r w:rsidR="000267B0">
        <w:rPr>
          <w:rFonts w:ascii="Palatino Linotype" w:hAnsi="Palatino Linotype" w:cs="Arial"/>
          <w:lang w:eastAsia="es-MX"/>
        </w:rPr>
        <w:t xml:space="preserve"> el</w:t>
      </w:r>
      <w:r w:rsidR="004343CF" w:rsidRPr="000B35D3">
        <w:rPr>
          <w:rFonts w:ascii="Palatino Linotype" w:hAnsi="Palatino Linotype" w:cs="Arial"/>
          <w:lang w:eastAsia="es-MX"/>
        </w:rPr>
        <w:t xml:space="preserve"> particular al momento de </w:t>
      </w:r>
      <w:r w:rsidRPr="000B35D3">
        <w:rPr>
          <w:rFonts w:ascii="Palatino Linotype" w:hAnsi="Palatino Linotype" w:cs="Arial"/>
          <w:lang w:eastAsia="es-MX"/>
        </w:rPr>
        <w:t>in</w:t>
      </w:r>
      <w:r w:rsidR="004343CF" w:rsidRPr="000B35D3">
        <w:rPr>
          <w:rFonts w:ascii="Palatino Linotype" w:hAnsi="Palatino Linotype" w:cs="Arial"/>
          <w:lang w:eastAsia="es-MX"/>
        </w:rPr>
        <w:t xml:space="preserve">terponer el </w:t>
      </w:r>
      <w:r w:rsidRPr="000B35D3">
        <w:rPr>
          <w:rFonts w:ascii="Palatino Linotype" w:hAnsi="Palatino Linotype" w:cs="Arial"/>
          <w:lang w:eastAsia="es-MX"/>
        </w:rPr>
        <w:t xml:space="preserve">recurso de revisión </w:t>
      </w:r>
      <w:r w:rsidR="004343CF" w:rsidRPr="000B35D3">
        <w:rPr>
          <w:rFonts w:ascii="Palatino Linotype" w:hAnsi="Palatino Linotype" w:cs="Arial"/>
          <w:lang w:eastAsia="es-MX"/>
        </w:rPr>
        <w:t xml:space="preserve">manifestó </w:t>
      </w:r>
      <w:r w:rsidRPr="000B35D3">
        <w:rPr>
          <w:rFonts w:ascii="Palatino Linotype" w:hAnsi="Palatino Linotype" w:cs="Arial"/>
          <w:lang w:eastAsia="es-MX"/>
        </w:rPr>
        <w:t xml:space="preserve">como acto impugnado </w:t>
      </w:r>
      <w:r w:rsidRPr="000B35D3">
        <w:rPr>
          <w:rFonts w:ascii="Palatino Linotype" w:hAnsi="Palatino Linotype" w:cs="Arial"/>
          <w:i/>
          <w:lang w:eastAsia="es-MX"/>
        </w:rPr>
        <w:t>“</w:t>
      </w:r>
      <w:r w:rsidR="000267B0" w:rsidRPr="000267B0">
        <w:rPr>
          <w:rFonts w:ascii="Palatino Linotype" w:hAnsi="Palatino Linotype" w:cs="Arial"/>
          <w:i/>
          <w:lang w:eastAsia="es-MX"/>
        </w:rPr>
        <w:t>la respuesta otorgada</w:t>
      </w:r>
      <w:r w:rsidRPr="000B35D3">
        <w:rPr>
          <w:rFonts w:ascii="Palatino Linotype" w:hAnsi="Palatino Linotype" w:cs="Arial"/>
          <w:i/>
          <w:lang w:eastAsia="es-MX"/>
        </w:rPr>
        <w:t>”</w:t>
      </w:r>
      <w:r w:rsidRPr="000B35D3">
        <w:rPr>
          <w:rFonts w:ascii="Palatino Linotype" w:hAnsi="Palatino Linotype" w:cs="Arial"/>
          <w:lang w:eastAsia="es-MX"/>
        </w:rPr>
        <w:t xml:space="preserve"> (Sic), razón por la cual</w:t>
      </w:r>
      <w:r w:rsidR="004343CF" w:rsidRPr="000B35D3">
        <w:rPr>
          <w:rFonts w:ascii="Palatino Linotype" w:hAnsi="Palatino Linotype" w:cs="Arial"/>
          <w:lang w:eastAsia="es-MX"/>
        </w:rPr>
        <w:t>,</w:t>
      </w:r>
      <w:r w:rsidRPr="000B35D3">
        <w:rPr>
          <w:rFonts w:ascii="Palatino Linotype" w:hAnsi="Palatino Linotype" w:cs="Arial"/>
          <w:lang w:eastAsia="es-MX"/>
        </w:rPr>
        <w:t xml:space="preserve"> </w:t>
      </w:r>
      <w:r w:rsidR="00BA11BE">
        <w:rPr>
          <w:rFonts w:ascii="Palatino Linotype" w:hAnsi="Palatino Linotype" w:cs="Arial"/>
          <w:lang w:eastAsia="es-MX"/>
        </w:rPr>
        <w:t xml:space="preserve">se coincide en que </w:t>
      </w:r>
      <w:r w:rsidR="004343CF" w:rsidRPr="000B35D3">
        <w:rPr>
          <w:rFonts w:ascii="Palatino Linotype" w:hAnsi="Palatino Linotype" w:cs="Arial"/>
          <w:lang w:eastAsia="es-MX"/>
        </w:rPr>
        <w:t>l</w:t>
      </w:r>
      <w:r w:rsidRPr="000B35D3">
        <w:rPr>
          <w:rFonts w:ascii="Palatino Linotype" w:hAnsi="Palatino Linotype" w:cs="Arial"/>
          <w:lang w:eastAsia="es-MX"/>
        </w:rPr>
        <w:t xml:space="preserve">a Ponencia </w:t>
      </w:r>
      <w:proofErr w:type="spellStart"/>
      <w:r w:rsidR="004343CF" w:rsidRPr="000B35D3">
        <w:rPr>
          <w:rFonts w:ascii="Palatino Linotype" w:hAnsi="Palatino Linotype" w:cs="Arial"/>
          <w:lang w:eastAsia="es-MX"/>
        </w:rPr>
        <w:t>Resolutora</w:t>
      </w:r>
      <w:proofErr w:type="spellEnd"/>
      <w:r w:rsidR="004343CF" w:rsidRPr="000B35D3">
        <w:rPr>
          <w:rFonts w:ascii="Palatino Linotype" w:hAnsi="Palatino Linotype" w:cs="Arial"/>
          <w:lang w:eastAsia="es-MX"/>
        </w:rPr>
        <w:t xml:space="preserve"> </w:t>
      </w:r>
      <w:r w:rsidRPr="000B35D3">
        <w:rPr>
          <w:rFonts w:ascii="Palatino Linotype" w:hAnsi="Palatino Linotype" w:cs="Arial"/>
          <w:lang w:eastAsia="es-MX"/>
        </w:rPr>
        <w:t>considera</w:t>
      </w:r>
      <w:r w:rsidR="00BA11BE">
        <w:rPr>
          <w:rFonts w:ascii="Palatino Linotype" w:hAnsi="Palatino Linotype" w:cs="Arial"/>
          <w:lang w:eastAsia="es-MX"/>
        </w:rPr>
        <w:t>ra</w:t>
      </w:r>
      <w:r w:rsidRPr="000B35D3">
        <w:rPr>
          <w:rFonts w:ascii="Palatino Linotype" w:hAnsi="Palatino Linotype" w:cs="Arial"/>
          <w:lang w:eastAsia="es-MX"/>
        </w:rPr>
        <w:t xml:space="preserve"> conveniente </w:t>
      </w:r>
      <w:r w:rsidR="0011585F">
        <w:rPr>
          <w:rFonts w:ascii="Palatino Linotype" w:hAnsi="Palatino Linotype" w:cs="Arial"/>
          <w:lang w:eastAsia="es-MX"/>
        </w:rPr>
        <w:t>analizar la totalidad de lo solicitado y la respuesta</w:t>
      </w:r>
      <w:r w:rsidRPr="000B35D3">
        <w:rPr>
          <w:rFonts w:ascii="Palatino Linotype" w:hAnsi="Palatino Linotype" w:cs="Arial"/>
          <w:lang w:eastAsia="es-MX"/>
        </w:rPr>
        <w:t>, a fin de veri</w:t>
      </w:r>
      <w:r w:rsidR="0011585F">
        <w:rPr>
          <w:rFonts w:ascii="Palatino Linotype" w:hAnsi="Palatino Linotype" w:cs="Arial"/>
          <w:lang w:eastAsia="es-MX"/>
        </w:rPr>
        <w:t xml:space="preserve">ficar si </w:t>
      </w:r>
      <w:r w:rsidR="0011585F" w:rsidRPr="0011585F">
        <w:rPr>
          <w:rFonts w:ascii="Palatino Linotype" w:hAnsi="Palatino Linotype" w:cs="Arial"/>
          <w:b/>
          <w:lang w:eastAsia="es-MX"/>
        </w:rPr>
        <w:t>EL</w:t>
      </w:r>
      <w:r w:rsidR="0011585F" w:rsidRPr="000B35D3">
        <w:rPr>
          <w:rFonts w:ascii="Palatino Linotype" w:hAnsi="Palatino Linotype" w:cs="Arial"/>
          <w:lang w:eastAsia="es-MX"/>
        </w:rPr>
        <w:t xml:space="preserve"> </w:t>
      </w:r>
      <w:r w:rsidRPr="000B35D3">
        <w:rPr>
          <w:rFonts w:ascii="Palatino Linotype" w:hAnsi="Palatino Linotype" w:cs="Arial"/>
          <w:b/>
          <w:lang w:eastAsia="es-MX"/>
        </w:rPr>
        <w:t>SUJETO OBLIGADO</w:t>
      </w:r>
      <w:r w:rsidRPr="000B35D3">
        <w:rPr>
          <w:rFonts w:ascii="Palatino Linotype" w:hAnsi="Palatino Linotype" w:cs="Arial"/>
          <w:lang w:eastAsia="es-MX"/>
        </w:rPr>
        <w:t xml:space="preserve"> efectivamente colmaba el derecho de acceso a la información pública </w:t>
      </w:r>
      <w:r w:rsidR="000267B0">
        <w:rPr>
          <w:rFonts w:ascii="Palatino Linotype" w:hAnsi="Palatino Linotype" w:cs="Arial"/>
          <w:lang w:eastAsia="es-MX"/>
        </w:rPr>
        <w:t xml:space="preserve">accionado por el </w:t>
      </w:r>
      <w:r w:rsidR="0011585F">
        <w:rPr>
          <w:rFonts w:ascii="Palatino Linotype" w:hAnsi="Palatino Linotype" w:cs="Arial"/>
          <w:lang w:eastAsia="es-MX"/>
        </w:rPr>
        <w:t xml:space="preserve">ahora </w:t>
      </w:r>
      <w:r w:rsidR="0011585F" w:rsidRPr="0011585F">
        <w:rPr>
          <w:rFonts w:ascii="Palatino Linotype" w:hAnsi="Palatino Linotype" w:cs="Arial"/>
          <w:b/>
          <w:lang w:eastAsia="es-MX"/>
        </w:rPr>
        <w:t>R</w:t>
      </w:r>
      <w:r w:rsidRPr="000B35D3">
        <w:rPr>
          <w:rFonts w:ascii="Palatino Linotype" w:hAnsi="Palatino Linotype" w:cs="Arial"/>
          <w:b/>
          <w:lang w:eastAsia="es-MX"/>
        </w:rPr>
        <w:t>ECURRENTE</w:t>
      </w:r>
      <w:r w:rsidRPr="000B35D3">
        <w:rPr>
          <w:rFonts w:ascii="Palatino Linotype" w:hAnsi="Palatino Linotype" w:cs="Arial"/>
          <w:lang w:eastAsia="es-MX"/>
        </w:rPr>
        <w:t>.</w:t>
      </w:r>
    </w:p>
    <w:p w:rsidR="00BF5455" w:rsidRDefault="00F61426" w:rsidP="000B35D3">
      <w:pPr>
        <w:spacing w:before="100" w:beforeAutospacing="1" w:after="100" w:afterAutospacing="1" w:line="360" w:lineRule="auto"/>
        <w:jc w:val="both"/>
        <w:rPr>
          <w:rFonts w:ascii="Palatino Linotype" w:eastAsia="Arial Unicode MS" w:hAnsi="Palatino Linotype" w:cs="Arial"/>
        </w:rPr>
      </w:pPr>
      <w:r w:rsidRPr="000B35D3">
        <w:rPr>
          <w:rFonts w:ascii="Palatino Linotype" w:hAnsi="Palatino Linotype"/>
        </w:rPr>
        <w:t xml:space="preserve">Así, en el presente caso, si bien del estudio realizado por la Ponencia </w:t>
      </w:r>
      <w:proofErr w:type="spellStart"/>
      <w:r w:rsidRPr="000B35D3">
        <w:rPr>
          <w:rFonts w:ascii="Palatino Linotype" w:hAnsi="Palatino Linotype"/>
        </w:rPr>
        <w:t>Resolutora</w:t>
      </w:r>
      <w:proofErr w:type="spellEnd"/>
      <w:r w:rsidRPr="000B35D3">
        <w:rPr>
          <w:rFonts w:ascii="Palatino Linotype" w:hAnsi="Palatino Linotype"/>
        </w:rPr>
        <w:t xml:space="preserve"> </w:t>
      </w:r>
      <w:r w:rsidR="002C2258" w:rsidRPr="000B35D3">
        <w:rPr>
          <w:rFonts w:ascii="Palatino Linotype" w:hAnsi="Palatino Linotype"/>
        </w:rPr>
        <w:t xml:space="preserve">se </w:t>
      </w:r>
      <w:r w:rsidRPr="000B35D3">
        <w:rPr>
          <w:rFonts w:ascii="Palatino Linotype" w:hAnsi="Palatino Linotype"/>
        </w:rPr>
        <w:t xml:space="preserve">determinó </w:t>
      </w:r>
      <w:r w:rsidR="00BE26F6" w:rsidRPr="000B35D3">
        <w:rPr>
          <w:rFonts w:ascii="Palatino Linotype" w:hAnsi="Palatino Linotype"/>
          <w:b/>
        </w:rPr>
        <w:t>MODIFICAR</w:t>
      </w:r>
      <w:r w:rsidRPr="000B35D3">
        <w:rPr>
          <w:rFonts w:ascii="Palatino Linotype" w:hAnsi="Palatino Linotype"/>
          <w:b/>
        </w:rPr>
        <w:t xml:space="preserve"> </w:t>
      </w:r>
      <w:r w:rsidRPr="000B35D3">
        <w:rPr>
          <w:rFonts w:ascii="Palatino Linotype" w:hAnsi="Palatino Linotype"/>
        </w:rPr>
        <w:t>l</w:t>
      </w:r>
      <w:r w:rsidR="00BE26F6" w:rsidRPr="000B35D3">
        <w:rPr>
          <w:rFonts w:ascii="Palatino Linotype" w:hAnsi="Palatino Linotype"/>
        </w:rPr>
        <w:t>a respuesta entregada del</w:t>
      </w:r>
      <w:r w:rsidR="00BE26F6" w:rsidRPr="000B35D3">
        <w:rPr>
          <w:rFonts w:ascii="Palatino Linotype" w:hAnsi="Palatino Linotype"/>
          <w:b/>
        </w:rPr>
        <w:t xml:space="preserve"> SUJETO OBLIGADO </w:t>
      </w:r>
      <w:r w:rsidRPr="000B35D3">
        <w:rPr>
          <w:rFonts w:ascii="Palatino Linotype" w:hAnsi="Palatino Linotype"/>
        </w:rPr>
        <w:t xml:space="preserve">en </w:t>
      </w:r>
      <w:r w:rsidR="002C2258" w:rsidRPr="000B35D3">
        <w:rPr>
          <w:rFonts w:ascii="Palatino Linotype" w:hAnsi="Palatino Linotype"/>
        </w:rPr>
        <w:t xml:space="preserve">atención </w:t>
      </w:r>
      <w:r w:rsidR="000267B0">
        <w:rPr>
          <w:rFonts w:ascii="Palatino Linotype" w:hAnsi="Palatino Linotype"/>
        </w:rPr>
        <w:t>a</w:t>
      </w:r>
      <w:r w:rsidRPr="000B35D3">
        <w:rPr>
          <w:rFonts w:ascii="Palatino Linotype" w:hAnsi="Palatino Linotype"/>
          <w:b/>
        </w:rPr>
        <w:t xml:space="preserve"> </w:t>
      </w:r>
      <w:r w:rsidR="006450C3" w:rsidRPr="000B35D3">
        <w:rPr>
          <w:rFonts w:ascii="Palatino Linotype" w:hAnsi="Palatino Linotype"/>
        </w:rPr>
        <w:t>las</w:t>
      </w:r>
      <w:r w:rsidRPr="000B35D3">
        <w:rPr>
          <w:rFonts w:ascii="Palatino Linotype" w:hAnsi="Palatino Linotype"/>
        </w:rPr>
        <w:t xml:space="preserve"> raz</w:t>
      </w:r>
      <w:r w:rsidR="006450C3" w:rsidRPr="000B35D3">
        <w:rPr>
          <w:rFonts w:ascii="Palatino Linotype" w:hAnsi="Palatino Linotype"/>
        </w:rPr>
        <w:t xml:space="preserve">ones o motivos de inconformidad expresadas por </w:t>
      </w:r>
      <w:r w:rsidR="000267B0">
        <w:rPr>
          <w:rFonts w:ascii="Palatino Linotype" w:hAnsi="Palatino Linotype"/>
          <w:b/>
        </w:rPr>
        <w:t>E</w:t>
      </w:r>
      <w:r w:rsidR="006450C3" w:rsidRPr="000B35D3">
        <w:rPr>
          <w:rFonts w:ascii="Palatino Linotype" w:hAnsi="Palatino Linotype"/>
          <w:b/>
        </w:rPr>
        <w:t>L RECURRENTE</w:t>
      </w:r>
      <w:r w:rsidR="00757CBD">
        <w:rPr>
          <w:rFonts w:ascii="Palatino Linotype" w:hAnsi="Palatino Linotype"/>
        </w:rPr>
        <w:t xml:space="preserve">; también lo es que, se considera que </w:t>
      </w:r>
      <w:r w:rsidR="006450C3" w:rsidRPr="000B35D3">
        <w:rPr>
          <w:rFonts w:ascii="Palatino Linotype" w:eastAsia="Arial Unicode MS" w:hAnsi="Palatino Linotype" w:cs="Arial"/>
        </w:rPr>
        <w:t xml:space="preserve">la solicitud formulada </w:t>
      </w:r>
      <w:r w:rsidR="00BE26F6" w:rsidRPr="000B35D3">
        <w:rPr>
          <w:rFonts w:ascii="Palatino Linotype" w:eastAsia="Arial Unicode MS" w:hAnsi="Palatino Linotype" w:cs="Arial"/>
        </w:rPr>
        <w:t xml:space="preserve">por </w:t>
      </w:r>
      <w:r w:rsidR="000267B0">
        <w:rPr>
          <w:rFonts w:ascii="Palatino Linotype" w:eastAsia="Arial Unicode MS" w:hAnsi="Palatino Linotype" w:cs="Arial"/>
        </w:rPr>
        <w:t>el</w:t>
      </w:r>
      <w:r w:rsidR="006450C3" w:rsidRPr="000B35D3">
        <w:rPr>
          <w:rFonts w:ascii="Palatino Linotype" w:eastAsia="Arial Unicode MS" w:hAnsi="Palatino Linotype" w:cs="Arial"/>
        </w:rPr>
        <w:t xml:space="preserve"> particular fue concreta</w:t>
      </w:r>
      <w:r w:rsidR="002C2258" w:rsidRPr="000B35D3">
        <w:rPr>
          <w:rFonts w:ascii="Palatino Linotype" w:eastAsia="Arial Unicode MS" w:hAnsi="Palatino Linotype" w:cs="Arial"/>
        </w:rPr>
        <w:t xml:space="preserve"> al</w:t>
      </w:r>
      <w:r w:rsidR="006450C3" w:rsidRPr="000B35D3">
        <w:rPr>
          <w:rFonts w:ascii="Palatino Linotype" w:eastAsia="Arial Unicode MS" w:hAnsi="Palatino Linotype" w:cs="Arial"/>
        </w:rPr>
        <w:t xml:space="preserve"> igual que la respuesta emitida por </w:t>
      </w:r>
      <w:r w:rsidR="006450C3" w:rsidRPr="000B35D3">
        <w:rPr>
          <w:rFonts w:ascii="Palatino Linotype" w:eastAsia="Arial Unicode MS" w:hAnsi="Palatino Linotype" w:cs="Arial"/>
          <w:b/>
        </w:rPr>
        <w:t>EL SUJETO OBLIGADO</w:t>
      </w:r>
      <w:r w:rsidR="006450C3" w:rsidRPr="000B35D3">
        <w:rPr>
          <w:rFonts w:ascii="Palatino Linotype" w:eastAsia="Arial Unicode MS" w:hAnsi="Palatino Linotype" w:cs="Arial"/>
        </w:rPr>
        <w:t xml:space="preserve">; </w:t>
      </w:r>
      <w:r w:rsidR="009A0D4E">
        <w:rPr>
          <w:rFonts w:ascii="Palatino Linotype" w:eastAsia="Arial Unicode MS" w:hAnsi="Palatino Linotype" w:cs="Arial"/>
        </w:rPr>
        <w:t>ello en razón de que</w:t>
      </w:r>
      <w:r w:rsidR="0005711A">
        <w:rPr>
          <w:rFonts w:ascii="Palatino Linotype" w:eastAsia="Arial Unicode MS" w:hAnsi="Palatino Linotype" w:cs="Arial"/>
        </w:rPr>
        <w:t>,</w:t>
      </w:r>
      <w:r w:rsidR="00DA1B98">
        <w:rPr>
          <w:rFonts w:ascii="Palatino Linotype" w:eastAsia="Arial Unicode MS" w:hAnsi="Palatino Linotype" w:cs="Arial"/>
        </w:rPr>
        <w:t xml:space="preserve"> no está </w:t>
      </w:r>
      <w:r w:rsidR="000267B0">
        <w:rPr>
          <w:rFonts w:ascii="Palatino Linotype" w:eastAsia="Arial Unicode MS" w:hAnsi="Palatino Linotype" w:cs="Arial"/>
        </w:rPr>
        <w:t xml:space="preserve">obligado a entregar el documento que avale las acciones o políticas públicas relativas </w:t>
      </w:r>
      <w:r w:rsidR="000267B0">
        <w:rPr>
          <w:rFonts w:ascii="Palatino Linotype" w:eastAsia="Arial Unicode MS" w:hAnsi="Palatino Linotype" w:cs="Arial"/>
        </w:rPr>
        <w:lastRenderedPageBreak/>
        <w:t>al comercio formal, informal y transporte público</w:t>
      </w:r>
      <w:r w:rsidR="00757CBD">
        <w:rPr>
          <w:rFonts w:ascii="Palatino Linotype" w:eastAsia="Arial Unicode MS" w:hAnsi="Palatino Linotype" w:cs="Arial"/>
        </w:rPr>
        <w:t xml:space="preserve"> ya </w:t>
      </w:r>
      <w:r w:rsidR="00DA1B98">
        <w:rPr>
          <w:rFonts w:ascii="Palatino Linotype" w:eastAsia="Arial Unicode MS" w:hAnsi="Palatino Linotype" w:cs="Arial"/>
        </w:rPr>
        <w:t>que el derecho de acceso a la información pública es el derecho de accesar a documentos en donde se advierta el quehacer público derivado de facultades y atribuciones de entes p</w:t>
      </w:r>
      <w:r w:rsidR="00757CBD">
        <w:rPr>
          <w:rFonts w:ascii="Palatino Linotype" w:eastAsia="Arial Unicode MS" w:hAnsi="Palatino Linotype" w:cs="Arial"/>
        </w:rPr>
        <w:t>úblicos;</w:t>
      </w:r>
      <w:r w:rsidR="00DA1B98">
        <w:rPr>
          <w:rFonts w:ascii="Palatino Linotype" w:eastAsia="Arial Unicode MS" w:hAnsi="Palatino Linotype" w:cs="Arial"/>
        </w:rPr>
        <w:t xml:space="preserve"> </w:t>
      </w:r>
      <w:r w:rsidR="006450C3" w:rsidRPr="000B35D3">
        <w:rPr>
          <w:rFonts w:ascii="Palatino Linotype" w:eastAsia="Arial Unicode MS" w:hAnsi="Palatino Linotype" w:cs="Arial"/>
        </w:rPr>
        <w:t>por lo que</w:t>
      </w:r>
      <w:r w:rsidR="002C2258" w:rsidRPr="000B35D3">
        <w:rPr>
          <w:rFonts w:ascii="Palatino Linotype" w:eastAsia="Arial Unicode MS" w:hAnsi="Palatino Linotype" w:cs="Arial"/>
        </w:rPr>
        <w:t>,</w:t>
      </w:r>
      <w:r w:rsidR="006450C3" w:rsidRPr="000B35D3">
        <w:rPr>
          <w:rFonts w:ascii="Palatino Linotype" w:eastAsia="Arial Unicode MS" w:hAnsi="Palatino Linotype" w:cs="Arial"/>
        </w:rPr>
        <w:t xml:space="preserve"> en ese sentido lo procedente era </w:t>
      </w:r>
      <w:r w:rsidR="006450C3" w:rsidRPr="000B35D3">
        <w:rPr>
          <w:rFonts w:ascii="Palatino Linotype" w:eastAsia="Arial Unicode MS" w:hAnsi="Palatino Linotype" w:cs="Arial"/>
          <w:b/>
        </w:rPr>
        <w:t xml:space="preserve">CONFIRMAR </w:t>
      </w:r>
      <w:r w:rsidR="006450C3" w:rsidRPr="000B35D3">
        <w:rPr>
          <w:rFonts w:ascii="Palatino Linotype" w:eastAsia="Arial Unicode MS" w:hAnsi="Palatino Linotype" w:cs="Arial"/>
        </w:rPr>
        <w:t xml:space="preserve">la respuesta, al tenerse por colmado el derecho de acceso a la información </w:t>
      </w:r>
      <w:r w:rsidR="004343CF" w:rsidRPr="000B35D3">
        <w:rPr>
          <w:rFonts w:ascii="Palatino Linotype" w:eastAsia="Arial Unicode MS" w:hAnsi="Palatino Linotype" w:cs="Arial"/>
        </w:rPr>
        <w:t xml:space="preserve">accionado por </w:t>
      </w:r>
      <w:r w:rsidR="000267B0">
        <w:rPr>
          <w:rFonts w:ascii="Palatino Linotype" w:eastAsia="Arial Unicode MS" w:hAnsi="Palatino Linotype" w:cs="Arial"/>
          <w:b/>
        </w:rPr>
        <w:t>EL</w:t>
      </w:r>
      <w:r w:rsidR="004343CF" w:rsidRPr="000B35D3">
        <w:rPr>
          <w:rFonts w:ascii="Palatino Linotype" w:eastAsia="Arial Unicode MS" w:hAnsi="Palatino Linotype" w:cs="Arial"/>
        </w:rPr>
        <w:t xml:space="preserve"> </w:t>
      </w:r>
      <w:r w:rsidR="002C2258" w:rsidRPr="000B35D3">
        <w:rPr>
          <w:rFonts w:ascii="Palatino Linotype" w:eastAsia="Arial Unicode MS" w:hAnsi="Palatino Linotype" w:cs="Arial"/>
          <w:b/>
        </w:rPr>
        <w:t>RECURRENTE</w:t>
      </w:r>
      <w:r w:rsidR="00BF5455">
        <w:rPr>
          <w:rFonts w:ascii="Palatino Linotype" w:eastAsia="Arial Unicode MS" w:hAnsi="Palatino Linotype" w:cs="Arial"/>
          <w:b/>
        </w:rPr>
        <w:t>.</w:t>
      </w:r>
    </w:p>
    <w:p w:rsidR="00BE26F6" w:rsidRDefault="00BF5455" w:rsidP="000B35D3">
      <w:pPr>
        <w:spacing w:before="100" w:beforeAutospacing="1" w:after="100" w:afterAutospacing="1" w:line="360" w:lineRule="auto"/>
        <w:jc w:val="both"/>
        <w:rPr>
          <w:rFonts w:ascii="Palatino Linotype" w:eastAsia="Arial Unicode MS" w:hAnsi="Palatino Linotype" w:cs="Arial"/>
        </w:rPr>
      </w:pPr>
      <w:r>
        <w:rPr>
          <w:rFonts w:ascii="Palatino Linotype" w:eastAsia="Arial Unicode MS" w:hAnsi="Palatino Linotype" w:cs="Arial"/>
        </w:rPr>
        <w:t xml:space="preserve">En </w:t>
      </w:r>
      <w:r w:rsidR="00DA1B98">
        <w:rPr>
          <w:rFonts w:ascii="Palatino Linotype" w:eastAsia="Arial Unicode MS" w:hAnsi="Palatino Linotype" w:cs="Arial"/>
        </w:rPr>
        <w:t>ese sentido</w:t>
      </w:r>
      <w:r>
        <w:rPr>
          <w:rFonts w:ascii="Palatino Linotype" w:eastAsia="Arial Unicode MS" w:hAnsi="Palatino Linotype" w:cs="Arial"/>
        </w:rPr>
        <w:t xml:space="preserve">, la suscrita emite </w:t>
      </w:r>
      <w:r>
        <w:rPr>
          <w:rFonts w:ascii="Palatino Linotype" w:eastAsia="Arial Unicode MS" w:hAnsi="Palatino Linotype" w:cs="Arial"/>
          <w:b/>
        </w:rPr>
        <w:t xml:space="preserve">VOTO PARTICULAR, </w:t>
      </w:r>
      <w:r>
        <w:rPr>
          <w:rFonts w:ascii="Palatino Linotype" w:eastAsia="Arial Unicode MS" w:hAnsi="Palatino Linotype" w:cs="Arial"/>
        </w:rPr>
        <w:t>dado a que</w:t>
      </w:r>
      <w:r w:rsidR="00DA1B98">
        <w:rPr>
          <w:rFonts w:ascii="Palatino Linotype" w:eastAsia="Arial Unicode MS" w:hAnsi="Palatino Linotype" w:cs="Arial"/>
        </w:rPr>
        <w:t xml:space="preserve"> el </w:t>
      </w:r>
      <w:r w:rsidR="0005711A">
        <w:rPr>
          <w:rFonts w:ascii="Palatino Linotype" w:eastAsia="Arial Unicode MS" w:hAnsi="Palatino Linotype" w:cs="Arial"/>
        </w:rPr>
        <w:t>artículo</w:t>
      </w:r>
      <w:r w:rsidR="00DA1B98">
        <w:rPr>
          <w:rFonts w:ascii="Palatino Linotype" w:eastAsia="Arial Unicode MS" w:hAnsi="Palatino Linotype" w:cs="Arial"/>
        </w:rPr>
        <w:t xml:space="preserve"> 4 de la Ley de </w:t>
      </w:r>
      <w:r w:rsidR="0005711A">
        <w:rPr>
          <w:rFonts w:ascii="Palatino Linotype" w:eastAsia="Arial Unicode MS" w:hAnsi="Palatino Linotype" w:cs="Arial"/>
        </w:rPr>
        <w:t>la materia</w:t>
      </w:r>
      <w:r w:rsidR="00DA1B98">
        <w:rPr>
          <w:rFonts w:ascii="Palatino Linotype" w:eastAsia="Arial Unicode MS" w:hAnsi="Palatino Linotype" w:cs="Arial"/>
        </w:rPr>
        <w:t xml:space="preserve"> </w:t>
      </w:r>
      <w:r w:rsidR="0005711A">
        <w:rPr>
          <w:rFonts w:ascii="Palatino Linotype" w:eastAsia="Arial Unicode MS" w:hAnsi="Palatino Linotype" w:cs="Arial"/>
        </w:rPr>
        <w:t>señala que el derecho humano de acceso a la información pública es la prerrogativa de las personas para que busquen, difundan, investiguen, recaben y soliciten información pública, por lo que</w:t>
      </w:r>
      <w:r>
        <w:rPr>
          <w:rFonts w:ascii="Palatino Linotype" w:eastAsia="Arial Unicode MS" w:hAnsi="Palatino Linotype" w:cs="Arial"/>
        </w:rPr>
        <w:t>,</w:t>
      </w:r>
      <w:r w:rsidR="0005711A">
        <w:rPr>
          <w:rFonts w:ascii="Palatino Linotype" w:eastAsia="Arial Unicode MS" w:hAnsi="Palatino Linotype" w:cs="Arial"/>
        </w:rPr>
        <w:t xml:space="preserve"> corresponde a los particulares el hacer el procesamiento de la información sin que los Sujetos Obligados tengan la obligación de generar un documento </w:t>
      </w:r>
      <w:r w:rsidR="0005711A" w:rsidRPr="00BF5455">
        <w:rPr>
          <w:rFonts w:ascii="Palatino Linotype" w:eastAsia="Arial Unicode MS" w:hAnsi="Palatino Linotype" w:cs="Arial"/>
          <w:i/>
        </w:rPr>
        <w:t>ad hoc</w:t>
      </w:r>
      <w:r w:rsidR="0005711A">
        <w:rPr>
          <w:rFonts w:ascii="Palatino Linotype" w:eastAsia="Arial Unicode MS" w:hAnsi="Palatino Linotype" w:cs="Arial"/>
        </w:rPr>
        <w:t>, tendi</w:t>
      </w:r>
      <w:bookmarkStart w:id="0" w:name="_GoBack"/>
      <w:bookmarkEnd w:id="0"/>
      <w:r w:rsidR="0005711A">
        <w:rPr>
          <w:rFonts w:ascii="Palatino Linotype" w:eastAsia="Arial Unicode MS" w:hAnsi="Palatino Linotype" w:cs="Arial"/>
        </w:rPr>
        <w:t>ente a colmar los req</w:t>
      </w:r>
      <w:r w:rsidR="00BA11BE">
        <w:rPr>
          <w:rFonts w:ascii="Palatino Linotype" w:eastAsia="Arial Unicode MS" w:hAnsi="Palatino Linotype" w:cs="Arial"/>
        </w:rPr>
        <w:t xml:space="preserve">uerimientos de los particulares, </w:t>
      </w:r>
      <w:r w:rsidR="0005711A">
        <w:rPr>
          <w:rFonts w:ascii="Palatino Linotype" w:eastAsia="Arial Unicode MS" w:hAnsi="Palatino Linotype" w:cs="Arial"/>
        </w:rPr>
        <w:t xml:space="preserve">pues ello sería en ejercicio del derecho de petición. </w:t>
      </w:r>
    </w:p>
    <w:tbl>
      <w:tblPr>
        <w:tblW w:w="2621" w:type="dxa"/>
        <w:jc w:val="center"/>
        <w:tblLayout w:type="fixed"/>
        <w:tblLook w:val="04A0" w:firstRow="1" w:lastRow="0" w:firstColumn="1" w:lastColumn="0" w:noHBand="0" w:noVBand="1"/>
      </w:tblPr>
      <w:tblGrid>
        <w:gridCol w:w="2621"/>
      </w:tblGrid>
      <w:tr w:rsidR="00F61426" w:rsidRPr="000B35D3" w:rsidTr="00C52D7F">
        <w:trPr>
          <w:trHeight w:val="1876"/>
          <w:jc w:val="center"/>
        </w:trPr>
        <w:tc>
          <w:tcPr>
            <w:tcW w:w="2621" w:type="dxa"/>
          </w:tcPr>
          <w:p w:rsidR="00F61426" w:rsidRPr="000B35D3" w:rsidRDefault="00F61426" w:rsidP="000B35D3">
            <w:pPr>
              <w:spacing w:before="100" w:beforeAutospacing="1" w:after="100" w:afterAutospacing="1" w:line="360" w:lineRule="auto"/>
              <w:rPr>
                <w:rFonts w:ascii="Palatino Linotype" w:hAnsi="Palatino Linotype" w:cs="Arial"/>
                <w:b/>
              </w:rPr>
            </w:pPr>
          </w:p>
          <w:p w:rsidR="00F61426" w:rsidRDefault="00F61426" w:rsidP="000B35D3">
            <w:pPr>
              <w:spacing w:before="100" w:beforeAutospacing="1" w:after="100" w:afterAutospacing="1" w:line="360" w:lineRule="auto"/>
              <w:rPr>
                <w:rFonts w:ascii="Palatino Linotype" w:hAnsi="Palatino Linotype" w:cs="Arial"/>
                <w:b/>
              </w:rPr>
            </w:pPr>
          </w:p>
          <w:p w:rsidR="00DA075E" w:rsidRDefault="00DA075E" w:rsidP="000B35D3">
            <w:pPr>
              <w:spacing w:before="100" w:beforeAutospacing="1" w:after="100" w:afterAutospacing="1" w:line="360" w:lineRule="auto"/>
              <w:rPr>
                <w:rFonts w:ascii="Palatino Linotype" w:hAnsi="Palatino Linotype" w:cs="Arial"/>
                <w:b/>
              </w:rPr>
            </w:pPr>
          </w:p>
          <w:p w:rsidR="00F61426" w:rsidRPr="000B35D3" w:rsidRDefault="00F61426" w:rsidP="000B35D3">
            <w:pPr>
              <w:jc w:val="center"/>
              <w:rPr>
                <w:rFonts w:ascii="Palatino Linotype" w:hAnsi="Palatino Linotype" w:cs="Arial"/>
                <w:b/>
              </w:rPr>
            </w:pPr>
            <w:r w:rsidRPr="000B35D3">
              <w:rPr>
                <w:rFonts w:ascii="Palatino Linotype" w:hAnsi="Palatino Linotype" w:cs="Arial"/>
                <w:b/>
              </w:rPr>
              <w:t>EVA ABAID YAPUR</w:t>
            </w:r>
          </w:p>
          <w:p w:rsidR="00F61426" w:rsidRDefault="00F61426" w:rsidP="00DA075E">
            <w:pPr>
              <w:jc w:val="center"/>
              <w:rPr>
                <w:rFonts w:ascii="Palatino Linotype" w:hAnsi="Palatino Linotype" w:cs="Arial"/>
                <w:b/>
              </w:rPr>
            </w:pPr>
            <w:r w:rsidRPr="000B35D3">
              <w:rPr>
                <w:rFonts w:ascii="Palatino Linotype" w:hAnsi="Palatino Linotype" w:cs="Arial"/>
                <w:b/>
              </w:rPr>
              <w:t>COMISIONADA</w:t>
            </w:r>
          </w:p>
          <w:p w:rsidR="00A61F71" w:rsidRPr="000B35D3" w:rsidRDefault="00A61F71" w:rsidP="00A61F71">
            <w:pPr>
              <w:jc w:val="center"/>
              <w:rPr>
                <w:rFonts w:ascii="Palatino Linotype" w:hAnsi="Palatino Linotype" w:cs="Arial"/>
                <w:b/>
              </w:rPr>
            </w:pPr>
            <w:r w:rsidRPr="00D21AFF">
              <w:rPr>
                <w:rFonts w:ascii="Palatino Linotype" w:hAnsi="Palatino Linotype" w:cs="Arial"/>
                <w:b/>
              </w:rPr>
              <w:t>(RÚBRICA)</w:t>
            </w:r>
          </w:p>
        </w:tc>
      </w:tr>
    </w:tbl>
    <w:p w:rsidR="00DA075E" w:rsidRPr="00DA075E" w:rsidRDefault="00DA075E" w:rsidP="000B35D3">
      <w:pPr>
        <w:jc w:val="both"/>
        <w:rPr>
          <w:rFonts w:ascii="Palatino Linotype" w:eastAsia="Calibri" w:hAnsi="Palatino Linotype" w:cs="Arial"/>
          <w:color w:val="000000" w:themeColor="text1"/>
          <w:sz w:val="6"/>
          <w:szCs w:val="6"/>
        </w:rPr>
      </w:pPr>
    </w:p>
    <w:p w:rsidR="00F61426" w:rsidRDefault="00F61426" w:rsidP="000B35D3">
      <w:pPr>
        <w:jc w:val="both"/>
        <w:rPr>
          <w:rFonts w:ascii="Palatino Linotype" w:eastAsia="Calibri" w:hAnsi="Palatino Linotype" w:cs="Arial"/>
          <w:color w:val="000000" w:themeColor="text1"/>
          <w:sz w:val="20"/>
          <w:szCs w:val="20"/>
        </w:rPr>
      </w:pPr>
      <w:r w:rsidRPr="000B35D3">
        <w:rPr>
          <w:rFonts w:ascii="Palatino Linotype" w:eastAsia="Calibri" w:hAnsi="Palatino Linotype" w:cs="Arial"/>
          <w:color w:val="000000" w:themeColor="text1"/>
          <w:sz w:val="20"/>
          <w:szCs w:val="20"/>
        </w:rPr>
        <w:t>Esta hoja corresponde al voto particular emitido en</w:t>
      </w:r>
      <w:r w:rsidR="00BE26F6" w:rsidRPr="000B35D3">
        <w:rPr>
          <w:rFonts w:ascii="Palatino Linotype" w:eastAsia="Calibri" w:hAnsi="Palatino Linotype" w:cs="Arial"/>
          <w:color w:val="000000" w:themeColor="text1"/>
          <w:sz w:val="20"/>
          <w:szCs w:val="20"/>
        </w:rPr>
        <w:t xml:space="preserve"> la resolución d</w:t>
      </w:r>
      <w:r w:rsidRPr="000B35D3">
        <w:rPr>
          <w:rFonts w:ascii="Palatino Linotype" w:eastAsia="Calibri" w:hAnsi="Palatino Linotype" w:cs="Arial"/>
          <w:color w:val="000000" w:themeColor="text1"/>
          <w:sz w:val="20"/>
          <w:szCs w:val="20"/>
        </w:rPr>
        <w:t>el recurso de revisión 0</w:t>
      </w:r>
      <w:r w:rsidR="000267B0">
        <w:rPr>
          <w:rFonts w:ascii="Palatino Linotype" w:eastAsia="Calibri" w:hAnsi="Palatino Linotype" w:cs="Arial"/>
          <w:color w:val="000000" w:themeColor="text1"/>
          <w:sz w:val="20"/>
          <w:szCs w:val="20"/>
        </w:rPr>
        <w:t>3728</w:t>
      </w:r>
      <w:r w:rsidRPr="000B35D3">
        <w:rPr>
          <w:rFonts w:ascii="Palatino Linotype" w:eastAsia="Calibri" w:hAnsi="Palatino Linotype" w:cs="Arial"/>
          <w:color w:val="000000" w:themeColor="text1"/>
          <w:sz w:val="20"/>
          <w:szCs w:val="20"/>
        </w:rPr>
        <w:t>/INFOEM/IP/RR/201</w:t>
      </w:r>
      <w:r w:rsidR="00BE26F6" w:rsidRPr="000B35D3">
        <w:rPr>
          <w:rFonts w:ascii="Palatino Linotype" w:eastAsia="Calibri" w:hAnsi="Palatino Linotype" w:cs="Arial"/>
          <w:color w:val="000000" w:themeColor="text1"/>
          <w:sz w:val="20"/>
          <w:szCs w:val="20"/>
        </w:rPr>
        <w:t>8</w:t>
      </w:r>
      <w:r w:rsidRPr="000B35D3">
        <w:rPr>
          <w:rFonts w:ascii="Palatino Linotype" w:eastAsia="Calibri" w:hAnsi="Palatino Linotype" w:cs="Arial"/>
          <w:color w:val="000000" w:themeColor="text1"/>
          <w:sz w:val="20"/>
          <w:szCs w:val="20"/>
        </w:rPr>
        <w:t>, aprobad</w:t>
      </w:r>
      <w:r w:rsidR="000267B0">
        <w:rPr>
          <w:rFonts w:ascii="Palatino Linotype" w:eastAsia="Calibri" w:hAnsi="Palatino Linotype" w:cs="Arial"/>
          <w:color w:val="000000" w:themeColor="text1"/>
          <w:sz w:val="20"/>
          <w:szCs w:val="20"/>
        </w:rPr>
        <w:t>o</w:t>
      </w:r>
      <w:r w:rsidRPr="000B35D3">
        <w:rPr>
          <w:rFonts w:ascii="Palatino Linotype" w:eastAsia="Calibri" w:hAnsi="Palatino Linotype" w:cs="Arial"/>
          <w:color w:val="000000" w:themeColor="text1"/>
          <w:sz w:val="20"/>
          <w:szCs w:val="20"/>
        </w:rPr>
        <w:t xml:space="preserve"> el </w:t>
      </w:r>
      <w:r w:rsidR="000267B0">
        <w:rPr>
          <w:rFonts w:ascii="Palatino Linotype" w:eastAsia="Calibri" w:hAnsi="Palatino Linotype" w:cs="Arial"/>
          <w:color w:val="000000" w:themeColor="text1"/>
          <w:sz w:val="20"/>
          <w:szCs w:val="20"/>
        </w:rPr>
        <w:t>seis</w:t>
      </w:r>
      <w:r w:rsidR="00BE26F6" w:rsidRPr="000B35D3">
        <w:rPr>
          <w:rFonts w:ascii="Palatino Linotype" w:eastAsia="Calibri" w:hAnsi="Palatino Linotype" w:cs="Arial"/>
          <w:color w:val="000000" w:themeColor="text1"/>
          <w:sz w:val="20"/>
          <w:szCs w:val="20"/>
        </w:rPr>
        <w:t xml:space="preserve"> </w:t>
      </w:r>
      <w:r w:rsidRPr="000B35D3">
        <w:rPr>
          <w:rFonts w:ascii="Palatino Linotype" w:eastAsia="Calibri" w:hAnsi="Palatino Linotype" w:cs="Arial"/>
          <w:color w:val="000000" w:themeColor="text1"/>
          <w:sz w:val="20"/>
          <w:szCs w:val="20"/>
        </w:rPr>
        <w:t xml:space="preserve">de </w:t>
      </w:r>
      <w:r w:rsidR="000267B0">
        <w:rPr>
          <w:rFonts w:ascii="Palatino Linotype" w:eastAsia="Calibri" w:hAnsi="Palatino Linotype" w:cs="Arial"/>
          <w:color w:val="000000" w:themeColor="text1"/>
          <w:sz w:val="20"/>
          <w:szCs w:val="20"/>
        </w:rPr>
        <w:t>diciembre</w:t>
      </w:r>
      <w:r w:rsidR="00BE26F6" w:rsidRPr="000B35D3">
        <w:rPr>
          <w:rFonts w:ascii="Palatino Linotype" w:eastAsia="Calibri" w:hAnsi="Palatino Linotype" w:cs="Arial"/>
          <w:color w:val="000000" w:themeColor="text1"/>
          <w:sz w:val="20"/>
          <w:szCs w:val="20"/>
        </w:rPr>
        <w:t xml:space="preserve"> de dos mil dieciocho</w:t>
      </w:r>
      <w:r w:rsidRPr="000B35D3">
        <w:rPr>
          <w:rFonts w:ascii="Palatino Linotype" w:eastAsia="Calibri" w:hAnsi="Palatino Linotype" w:cs="Arial"/>
          <w:color w:val="000000" w:themeColor="text1"/>
          <w:sz w:val="20"/>
          <w:szCs w:val="20"/>
        </w:rPr>
        <w:t>.</w:t>
      </w:r>
    </w:p>
    <w:p w:rsidR="00BA11BE" w:rsidRPr="00BA11BE" w:rsidRDefault="00BA11BE" w:rsidP="000B35D3">
      <w:pPr>
        <w:jc w:val="both"/>
        <w:rPr>
          <w:rFonts w:ascii="Palatino Linotype" w:eastAsia="Calibri" w:hAnsi="Palatino Linotype" w:cs="Arial"/>
          <w:color w:val="000000" w:themeColor="text1"/>
          <w:sz w:val="8"/>
          <w:szCs w:val="20"/>
        </w:rPr>
      </w:pPr>
    </w:p>
    <w:p w:rsidR="00BA11BE" w:rsidRPr="000B35D3" w:rsidRDefault="00BE26F6" w:rsidP="0005711A">
      <w:pPr>
        <w:jc w:val="both"/>
        <w:rPr>
          <w:rFonts w:ascii="Palatino Linotype" w:hAnsi="Palatino Linotype"/>
        </w:rPr>
      </w:pPr>
      <w:r w:rsidRPr="000B35D3">
        <w:rPr>
          <w:rFonts w:ascii="Palatino Linotype" w:eastAsia="Calibri" w:hAnsi="Palatino Linotype" w:cs="Arial"/>
          <w:color w:val="000000" w:themeColor="text1"/>
          <w:sz w:val="20"/>
          <w:szCs w:val="20"/>
        </w:rPr>
        <w:t>YSM/IAHA</w:t>
      </w:r>
    </w:p>
    <w:sectPr w:rsidR="00BA11BE" w:rsidRPr="000B35D3" w:rsidSect="0053237D">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547" w:rsidRDefault="00AF7547" w:rsidP="00F61426">
      <w:r>
        <w:separator/>
      </w:r>
    </w:p>
  </w:endnote>
  <w:endnote w:type="continuationSeparator" w:id="0">
    <w:p w:rsidR="00AF7547" w:rsidRDefault="00AF7547" w:rsidP="00F61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D7F" w:rsidRDefault="00C52D7F" w:rsidP="00C52D7F">
    <w:pPr>
      <w:pStyle w:val="Piedepgina"/>
      <w:tabs>
        <w:tab w:val="clear" w:pos="4252"/>
        <w:tab w:val="left" w:pos="4228"/>
      </w:tabs>
      <w:rPr>
        <w:rFonts w:ascii="Palatino Linotype" w:hAnsi="Palatino Linotype" w:cs="Arial"/>
        <w:b/>
        <w:bCs/>
        <w:sz w:val="20"/>
        <w:szCs w:val="20"/>
      </w:rPr>
    </w:pPr>
  </w:p>
  <w:p w:rsidR="00C52D7F" w:rsidRDefault="00C52D7F" w:rsidP="00C52D7F">
    <w:pPr>
      <w:pStyle w:val="Piedepgina"/>
      <w:tabs>
        <w:tab w:val="clear" w:pos="4252"/>
        <w:tab w:val="left" w:pos="4228"/>
      </w:tabs>
      <w:rPr>
        <w:rFonts w:ascii="Palatino Linotype" w:hAnsi="Palatino Linotype" w:cs="Arial"/>
        <w:b/>
        <w:bCs/>
        <w:sz w:val="20"/>
        <w:szCs w:val="20"/>
      </w:rPr>
    </w:pPr>
  </w:p>
  <w:p w:rsidR="00C52D7F" w:rsidRDefault="00C52D7F" w:rsidP="00C52D7F">
    <w:pPr>
      <w:pStyle w:val="Piedepgina"/>
      <w:tabs>
        <w:tab w:val="clear" w:pos="4252"/>
        <w:tab w:val="left" w:pos="4228"/>
      </w:tabs>
      <w:rPr>
        <w:rFonts w:ascii="Palatino Linotype" w:hAnsi="Palatino Linotype" w:cs="Arial"/>
        <w:b/>
        <w:bCs/>
        <w:sz w:val="20"/>
        <w:szCs w:val="20"/>
      </w:rPr>
    </w:pPr>
  </w:p>
  <w:p w:rsidR="0005711A" w:rsidRDefault="0005711A" w:rsidP="00C52D7F">
    <w:pPr>
      <w:pStyle w:val="Piedepgina"/>
      <w:tabs>
        <w:tab w:val="clear" w:pos="4252"/>
        <w:tab w:val="left" w:pos="4228"/>
      </w:tabs>
      <w:rPr>
        <w:rFonts w:ascii="Palatino Linotype" w:hAnsi="Palatino Linotype" w:cs="Arial"/>
        <w:b/>
        <w:bCs/>
        <w:sz w:val="20"/>
        <w:szCs w:val="20"/>
      </w:rPr>
    </w:pPr>
  </w:p>
  <w:p w:rsidR="00C52D7F" w:rsidRDefault="00C52D7F" w:rsidP="00C52D7F">
    <w:pPr>
      <w:pStyle w:val="Piedepgina"/>
      <w:rPr>
        <w:rFonts w:ascii="Palatino Linotype" w:hAnsi="Palatino Linotype" w:cs="Arial"/>
        <w:b/>
        <w:bCs/>
        <w:sz w:val="20"/>
        <w:szCs w:val="20"/>
      </w:rPr>
    </w:pPr>
  </w:p>
  <w:p w:rsidR="00C52D7F" w:rsidRPr="00F12350" w:rsidRDefault="009B0705" w:rsidP="00C52D7F">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61F71">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61F71">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p>
  <w:p w:rsidR="00C52D7F" w:rsidRDefault="00C52D7F" w:rsidP="00C52D7F">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547" w:rsidRDefault="00AF7547" w:rsidP="00F61426">
      <w:r>
        <w:separator/>
      </w:r>
    </w:p>
  </w:footnote>
  <w:footnote w:type="continuationSeparator" w:id="0">
    <w:p w:rsidR="00AF7547" w:rsidRDefault="00AF7547" w:rsidP="00F614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D7F" w:rsidRDefault="00A61F7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6" o:spid="_x0000_s2049" type="#_x0000_t136" style="position:absolute;margin-left:0;margin-top:0;width:648.8pt;height:54.0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CONCURR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3CF" w:rsidRDefault="004343CF" w:rsidP="00C52D7F">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418686E7" wp14:editId="60F21379">
          <wp:simplePos x="0" y="0"/>
          <wp:positionH relativeFrom="column">
            <wp:posOffset>-727075</wp:posOffset>
          </wp:positionH>
          <wp:positionV relativeFrom="paragraph">
            <wp:posOffset>-447675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C52D7F" w:rsidRDefault="00C52D7F" w:rsidP="00C52D7F">
    <w:pPr>
      <w:pStyle w:val="Encabezado"/>
      <w:tabs>
        <w:tab w:val="clear" w:pos="4252"/>
        <w:tab w:val="clear" w:pos="8504"/>
        <w:tab w:val="left" w:pos="2326"/>
      </w:tabs>
      <w:jc w:val="right"/>
    </w:pPr>
  </w:p>
  <w:tbl>
    <w:tblPr>
      <w:tblW w:w="5321" w:type="dxa"/>
      <w:tblInd w:w="4035" w:type="dxa"/>
      <w:tblLayout w:type="fixed"/>
      <w:tblLook w:val="04A0" w:firstRow="1" w:lastRow="0" w:firstColumn="1" w:lastColumn="0" w:noHBand="0" w:noVBand="1"/>
    </w:tblPr>
    <w:tblGrid>
      <w:gridCol w:w="5321"/>
    </w:tblGrid>
    <w:tr w:rsidR="00C52D7F" w:rsidRPr="008F2CCC" w:rsidTr="000C43C3">
      <w:tc>
        <w:tcPr>
          <w:tcW w:w="5321" w:type="dxa"/>
          <w:shd w:val="clear" w:color="auto" w:fill="auto"/>
        </w:tcPr>
        <w:p w:rsidR="00C52D7F" w:rsidRPr="00801C8F" w:rsidRDefault="009B0705" w:rsidP="00C52D7F">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VOTO PARTICULAR</w:t>
          </w:r>
        </w:p>
      </w:tc>
    </w:tr>
    <w:tr w:rsidR="00C52D7F" w:rsidRPr="008F2CCC" w:rsidTr="000C43C3">
      <w:tc>
        <w:tcPr>
          <w:tcW w:w="5321" w:type="dxa"/>
          <w:shd w:val="clear" w:color="auto" w:fill="auto"/>
        </w:tcPr>
        <w:p w:rsidR="00C52D7F" w:rsidRPr="00801C8F" w:rsidRDefault="008A36C0" w:rsidP="008A36C0">
          <w:pPr>
            <w:pStyle w:val="Encabezado"/>
            <w:tabs>
              <w:tab w:val="clear" w:pos="4252"/>
              <w:tab w:val="clear" w:pos="8504"/>
              <w:tab w:val="left" w:pos="2326"/>
            </w:tabs>
            <w:rPr>
              <w:rFonts w:ascii="Palatino Linotype" w:hAnsi="Palatino Linotype" w:cs="Arial"/>
              <w:sz w:val="20"/>
              <w:szCs w:val="20"/>
            </w:rPr>
          </w:pPr>
          <w:r>
            <w:rPr>
              <w:rFonts w:ascii="Palatino Linotype" w:hAnsi="Palatino Linotype" w:cs="Arial"/>
              <w:sz w:val="20"/>
              <w:szCs w:val="20"/>
            </w:rPr>
            <w:t xml:space="preserve">  </w:t>
          </w:r>
          <w:r w:rsidR="000C43C3">
            <w:rPr>
              <w:rFonts w:ascii="Palatino Linotype" w:hAnsi="Palatino Linotype" w:cs="Arial"/>
              <w:sz w:val="20"/>
              <w:szCs w:val="20"/>
            </w:rPr>
            <w:t xml:space="preserve">    </w:t>
          </w:r>
          <w:r w:rsidR="009B0705" w:rsidRPr="00801C8F">
            <w:rPr>
              <w:rFonts w:ascii="Palatino Linotype" w:hAnsi="Palatino Linotype" w:cs="Arial"/>
              <w:sz w:val="20"/>
              <w:szCs w:val="20"/>
            </w:rPr>
            <w:t xml:space="preserve">RECURSO DE REVISIÓN </w:t>
          </w:r>
          <w:r w:rsidR="00D84627">
            <w:rPr>
              <w:rFonts w:ascii="Palatino Linotype" w:hAnsi="Palatino Linotype" w:cs="Arial"/>
              <w:sz w:val="20"/>
              <w:szCs w:val="20"/>
            </w:rPr>
            <w:t>03728</w:t>
          </w:r>
          <w:r>
            <w:rPr>
              <w:rFonts w:ascii="Palatino Linotype" w:hAnsi="Palatino Linotype" w:cs="Arial"/>
              <w:sz w:val="20"/>
              <w:szCs w:val="20"/>
            </w:rPr>
            <w:t>/INFOEM/IP/RR/2018</w:t>
          </w:r>
        </w:p>
      </w:tc>
    </w:tr>
  </w:tbl>
  <w:p w:rsidR="00C52D7F" w:rsidRDefault="00C52D7F" w:rsidP="00C52D7F">
    <w:pPr>
      <w:pStyle w:val="Encabezado"/>
      <w:tabs>
        <w:tab w:val="clear" w:pos="4252"/>
        <w:tab w:val="clear" w:pos="8504"/>
        <w:tab w:val="left" w:pos="2326"/>
      </w:tabs>
      <w:jc w:val="right"/>
      <w:rPr>
        <w:sz w:val="20"/>
      </w:rPr>
    </w:pPr>
  </w:p>
  <w:p w:rsidR="00C52D7F" w:rsidRPr="00801C8F" w:rsidRDefault="00A61F71" w:rsidP="00C52D7F">
    <w:pPr>
      <w:pStyle w:val="Encabezado"/>
      <w:tabs>
        <w:tab w:val="clear" w:pos="4252"/>
        <w:tab w:val="clear" w:pos="8504"/>
        <w:tab w:val="left" w:pos="2326"/>
      </w:tabs>
      <w:jc w:val="right"/>
      <w:rPr>
        <w:sz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7" o:spid="_x0000_s2050" type="#_x0000_t136" style="position:absolute;left:0;text-align:left;margin-left:0;margin-top:0;width:648.8pt;height:81.3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D7F" w:rsidRDefault="00A61F7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5" o:spid="_x0000_s2051" type="#_x0000_t136" style="position:absolute;margin-left:0;margin-top:0;width:648.8pt;height:54.0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1223F"/>
    <w:multiLevelType w:val="hybridMultilevel"/>
    <w:tmpl w:val="34948EEC"/>
    <w:lvl w:ilvl="0" w:tplc="0D2CC0C6">
      <w:start w:val="6"/>
      <w:numFmt w:val="decimal"/>
      <w:lvlText w:val="%1."/>
      <w:lvlJc w:val="left"/>
      <w:pPr>
        <w:ind w:left="720" w:hanging="360"/>
      </w:pPr>
      <w:rPr>
        <w:rFonts w:hint="default"/>
        <w:b/>
        <w:i w:val="0"/>
        <w:color w:val="000000" w:themeColor="text1"/>
        <w:sz w:val="24"/>
      </w:rPr>
    </w:lvl>
    <w:lvl w:ilvl="1" w:tplc="080A000D">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2E20CE7"/>
    <w:multiLevelType w:val="hybridMultilevel"/>
    <w:tmpl w:val="70A4E2E2"/>
    <w:lvl w:ilvl="0" w:tplc="03B45B92">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426"/>
    <w:rsid w:val="00015411"/>
    <w:rsid w:val="000267B0"/>
    <w:rsid w:val="0005711A"/>
    <w:rsid w:val="000B35D3"/>
    <w:rsid w:val="000C43C3"/>
    <w:rsid w:val="0011585F"/>
    <w:rsid w:val="0027696A"/>
    <w:rsid w:val="002C2258"/>
    <w:rsid w:val="00354237"/>
    <w:rsid w:val="003D258C"/>
    <w:rsid w:val="003E1A53"/>
    <w:rsid w:val="003E3FE9"/>
    <w:rsid w:val="004343CF"/>
    <w:rsid w:val="004E0C80"/>
    <w:rsid w:val="0053237D"/>
    <w:rsid w:val="006450C3"/>
    <w:rsid w:val="00740098"/>
    <w:rsid w:val="00757A90"/>
    <w:rsid w:val="00757CBD"/>
    <w:rsid w:val="007C6322"/>
    <w:rsid w:val="00862651"/>
    <w:rsid w:val="0089083F"/>
    <w:rsid w:val="008A36C0"/>
    <w:rsid w:val="009A0D4E"/>
    <w:rsid w:val="009B0705"/>
    <w:rsid w:val="00A61F71"/>
    <w:rsid w:val="00AF7547"/>
    <w:rsid w:val="00BA11BE"/>
    <w:rsid w:val="00BE26F6"/>
    <w:rsid w:val="00BF5455"/>
    <w:rsid w:val="00C23B43"/>
    <w:rsid w:val="00C52D7F"/>
    <w:rsid w:val="00D84627"/>
    <w:rsid w:val="00DA075E"/>
    <w:rsid w:val="00DA1B98"/>
    <w:rsid w:val="00DE4EFA"/>
    <w:rsid w:val="00F614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D08CC0E-877C-4C00-9067-3BFBE3AFE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42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142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F61426"/>
    <w:rPr>
      <w:rFonts w:eastAsiaTheme="minorEastAsia"/>
      <w:sz w:val="24"/>
      <w:szCs w:val="24"/>
      <w:lang w:val="es-ES_tradnl" w:eastAsia="es-ES"/>
    </w:rPr>
  </w:style>
  <w:style w:type="paragraph" w:styleId="Piedepgina">
    <w:name w:val="footer"/>
    <w:basedOn w:val="Normal"/>
    <w:link w:val="PiedepginaCar"/>
    <w:uiPriority w:val="99"/>
    <w:unhideWhenUsed/>
    <w:rsid w:val="00F6142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61426"/>
    <w:rPr>
      <w:rFonts w:eastAsiaTheme="minorEastAsia"/>
      <w:sz w:val="24"/>
      <w:szCs w:val="24"/>
      <w:lang w:val="es-ES_tradnl" w:eastAsia="es-ES"/>
    </w:rPr>
  </w:style>
  <w:style w:type="paragraph" w:customStyle="1" w:styleId="Default">
    <w:name w:val="Default"/>
    <w:rsid w:val="00F61426"/>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450C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50C3"/>
    <w:rPr>
      <w:rFonts w:ascii="Segoe UI" w:eastAsia="Times New Roman" w:hAnsi="Segoe UI" w:cs="Segoe UI"/>
      <w:sz w:val="18"/>
      <w:szCs w:val="18"/>
      <w:lang w:eastAsia="es-ES"/>
    </w:rPr>
  </w:style>
  <w:style w:type="character" w:styleId="Hipervnculo">
    <w:name w:val="Hyperlink"/>
    <w:basedOn w:val="Fuentedeprrafopredeter"/>
    <w:uiPriority w:val="99"/>
    <w:unhideWhenUsed/>
    <w:rsid w:val="008A36C0"/>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E4EFA"/>
    <w:pPr>
      <w:ind w:left="708"/>
    </w:pPr>
    <w:rPr>
      <w:lang w:val="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4EF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834</Words>
  <Characters>4592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cp:lastPrinted>2018-07-09T18:28:00Z</cp:lastPrinted>
  <dcterms:created xsi:type="dcterms:W3CDTF">2018-12-10T18:32:00Z</dcterms:created>
  <dcterms:modified xsi:type="dcterms:W3CDTF">2019-01-23T20:10:00Z</dcterms:modified>
</cp:coreProperties>
</file>